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04A3CD">
      <w:pPr>
        <w:spacing w:before="312" w:beforeLines="100" w:after="156" w:afterLines="50"/>
        <w:jc w:val="center"/>
        <w:rPr>
          <w:rFonts w:ascii="方正小标宋简体" w:hAnsi="Times New Roman" w:eastAsia="方正小标宋简体"/>
          <w:b/>
          <w:sz w:val="36"/>
          <w:szCs w:val="36"/>
        </w:rPr>
      </w:pPr>
      <w:r>
        <w:rPr>
          <w:rFonts w:hint="eastAsia" w:ascii="方正小标宋简体" w:hAnsi="Times New Roman" w:eastAsia="方正小标宋简体"/>
          <w:b/>
          <w:sz w:val="36"/>
          <w:szCs w:val="36"/>
        </w:rPr>
        <w:t>武汉理工大学</w:t>
      </w:r>
      <w:r>
        <w:rPr>
          <w:rFonts w:hint="eastAsia" w:ascii="方正小标宋简体" w:hAnsi="宋体" w:eastAsia="方正小标宋简体" w:cs="宋体"/>
          <w:b/>
          <w:sz w:val="36"/>
          <w:szCs w:val="36"/>
        </w:rPr>
        <w:t>化学化工学院</w:t>
      </w:r>
      <w:r>
        <w:rPr>
          <w:rFonts w:hint="eastAsia" w:ascii="方正小标宋简体" w:hAnsi="Times New Roman" w:eastAsia="方正小标宋简体"/>
          <w:b/>
          <w:sz w:val="36"/>
          <w:szCs w:val="36"/>
        </w:rPr>
        <w:t>20</w:t>
      </w:r>
      <w:r>
        <w:rPr>
          <w:rFonts w:ascii="方正小标宋简体" w:hAnsi="Times New Roman" w:eastAsia="方正小标宋简体"/>
          <w:b/>
          <w:sz w:val="36"/>
          <w:szCs w:val="36"/>
        </w:rPr>
        <w:t>2</w:t>
      </w:r>
      <w:r>
        <w:rPr>
          <w:rFonts w:hint="eastAsia" w:ascii="方正小标宋简体" w:hAnsi="Times New Roman" w:eastAsia="方正小标宋简体"/>
          <w:b/>
          <w:sz w:val="36"/>
          <w:szCs w:val="36"/>
        </w:rPr>
        <w:t>7年推荐免试攻读硕士学位（直接攻读博士学位）研究生招生简章</w:t>
      </w:r>
    </w:p>
    <w:p w14:paraId="146D7A42">
      <w:pPr>
        <w:numPr>
          <w:ilvl w:val="0"/>
          <w:numId w:val="1"/>
        </w:numPr>
        <w:spacing w:before="156" w:beforeLines="50" w:after="156" w:afterLines="50" w:line="360" w:lineRule="exact"/>
        <w:rPr>
          <w:rFonts w:hint="eastAsia" w:ascii="黑体" w:hAnsi="黑体" w:eastAsia="黑体"/>
          <w:sz w:val="30"/>
          <w:szCs w:val="30"/>
        </w:rPr>
      </w:pPr>
      <w:r>
        <w:rPr>
          <w:rFonts w:hint="eastAsia" w:ascii="黑体" w:hAnsi="黑体" w:eastAsia="黑体"/>
          <w:sz w:val="30"/>
          <w:szCs w:val="30"/>
        </w:rPr>
        <w:t>申请条件</w:t>
      </w:r>
    </w:p>
    <w:p w14:paraId="6E09BEC1">
      <w:pPr>
        <w:spacing w:before="156" w:beforeLines="50" w:after="156" w:afterLines="50" w:line="360" w:lineRule="auto"/>
        <w:rPr>
          <w:rFonts w:hint="eastAsia" w:ascii="宋体" w:hAnsi="宋体"/>
          <w:sz w:val="24"/>
          <w:szCs w:val="24"/>
        </w:rPr>
      </w:pPr>
      <w:r>
        <w:rPr>
          <w:rFonts w:hint="eastAsia" w:ascii="宋体" w:hAnsi="宋体"/>
          <w:sz w:val="24"/>
          <w:szCs w:val="24"/>
        </w:rPr>
        <w:t>（一）专业条件：</w:t>
      </w:r>
    </w:p>
    <w:p w14:paraId="5ACCF4C3">
      <w:pPr>
        <w:spacing w:line="360" w:lineRule="auto"/>
        <w:rPr>
          <w:rFonts w:hint="eastAsia" w:ascii="宋体" w:hAnsi="宋体"/>
          <w:sz w:val="24"/>
          <w:szCs w:val="24"/>
        </w:rPr>
      </w:pPr>
      <w:r>
        <w:rPr>
          <w:rFonts w:hint="eastAsia" w:ascii="宋体" w:hAnsi="宋体"/>
          <w:sz w:val="24"/>
          <w:szCs w:val="24"/>
        </w:rPr>
        <w:t>1. 化学工程与技术（081700）、化学工程（085602）专业要求：</w:t>
      </w:r>
    </w:p>
    <w:p w14:paraId="6FBA59B1">
      <w:pPr>
        <w:spacing w:line="360" w:lineRule="auto"/>
        <w:ind w:firstLine="420"/>
        <w:rPr>
          <w:rFonts w:hint="eastAsia" w:ascii="宋体" w:hAnsi="宋体"/>
          <w:sz w:val="24"/>
          <w:szCs w:val="24"/>
        </w:rPr>
      </w:pPr>
      <w:r>
        <w:rPr>
          <w:rFonts w:hint="eastAsia" w:ascii="宋体" w:hAnsi="宋体"/>
          <w:sz w:val="24"/>
          <w:szCs w:val="24"/>
        </w:rPr>
        <w:t>要求本科毕业专业为0813化工与制药类、0703化学类、0804材料类、0817轻工类、</w:t>
      </w:r>
      <w:bookmarkStart w:id="0" w:name="OLE_LINK1"/>
      <w:r>
        <w:rPr>
          <w:rFonts w:hint="eastAsia" w:ascii="宋体" w:hAnsi="宋体"/>
          <w:sz w:val="24"/>
          <w:szCs w:val="24"/>
        </w:rPr>
        <w:t>0825环境科学与工程类、</w:t>
      </w:r>
      <w:bookmarkEnd w:id="0"/>
      <w:r>
        <w:rPr>
          <w:rFonts w:hint="eastAsia" w:ascii="宋体" w:hAnsi="宋体"/>
          <w:sz w:val="24"/>
          <w:szCs w:val="24"/>
        </w:rPr>
        <w:t>0826生物医学工程类、0827食品科学与工程类、0830生物工程类等专业类所含基本专业及特设专业；</w:t>
      </w:r>
    </w:p>
    <w:p w14:paraId="44EC7FCB">
      <w:pPr>
        <w:spacing w:line="360" w:lineRule="auto"/>
        <w:rPr>
          <w:rFonts w:hint="eastAsia" w:ascii="宋体" w:hAnsi="宋体"/>
          <w:sz w:val="24"/>
          <w:szCs w:val="24"/>
        </w:rPr>
      </w:pPr>
      <w:r>
        <w:rPr>
          <w:rFonts w:hint="eastAsia" w:ascii="宋体" w:hAnsi="宋体"/>
          <w:sz w:val="24"/>
          <w:szCs w:val="24"/>
        </w:rPr>
        <w:t>2. 化学（070300）专业要求：</w:t>
      </w:r>
    </w:p>
    <w:p w14:paraId="29FAC063">
      <w:pPr>
        <w:spacing w:line="360" w:lineRule="auto"/>
        <w:ind w:firstLine="420"/>
        <w:rPr>
          <w:rFonts w:hint="eastAsia" w:ascii="宋体" w:hAnsi="宋体"/>
          <w:sz w:val="24"/>
          <w:szCs w:val="24"/>
        </w:rPr>
      </w:pPr>
      <w:r>
        <w:rPr>
          <w:rFonts w:hint="eastAsia" w:ascii="宋体" w:hAnsi="宋体"/>
          <w:sz w:val="24"/>
          <w:szCs w:val="24"/>
        </w:rPr>
        <w:t>要求本科毕业专业为0703化学类、0813化工与制药类、0804材料类、0817轻工类、0710生物科学类、1007药学类、0826生物医学工程类、0825环境科学与工程类等专业类所含基本专业及特设专业。</w:t>
      </w:r>
    </w:p>
    <w:p w14:paraId="76557AC3">
      <w:pPr>
        <w:spacing w:line="360" w:lineRule="auto"/>
        <w:ind w:firstLine="420"/>
        <w:rPr>
          <w:rFonts w:hint="eastAsia" w:ascii="宋体" w:hAnsi="宋体"/>
          <w:sz w:val="24"/>
          <w:szCs w:val="24"/>
        </w:rPr>
      </w:pPr>
    </w:p>
    <w:p w14:paraId="69B97E85">
      <w:pPr>
        <w:spacing w:before="156" w:beforeLines="50" w:after="156" w:afterLines="50" w:line="360" w:lineRule="auto"/>
        <w:rPr>
          <w:rFonts w:hint="eastAsia" w:ascii="宋体" w:hAnsi="宋体"/>
          <w:sz w:val="24"/>
          <w:szCs w:val="24"/>
        </w:rPr>
      </w:pPr>
      <w:r>
        <w:rPr>
          <w:rFonts w:hint="eastAsia" w:ascii="宋体" w:hAnsi="宋体"/>
          <w:sz w:val="24"/>
          <w:szCs w:val="24"/>
        </w:rPr>
        <w:t>（二）其他条件：</w:t>
      </w:r>
    </w:p>
    <w:p w14:paraId="7AA730DA">
      <w:pPr>
        <w:spacing w:line="360" w:lineRule="auto"/>
        <w:jc w:val="left"/>
        <w:rPr>
          <w:rFonts w:hint="eastAsia" w:ascii="宋体" w:hAnsi="宋体"/>
          <w:sz w:val="24"/>
          <w:szCs w:val="24"/>
        </w:rPr>
      </w:pPr>
      <w:r>
        <w:rPr>
          <w:rFonts w:hint="eastAsia" w:ascii="宋体" w:hAnsi="宋体"/>
          <w:sz w:val="24"/>
          <w:szCs w:val="24"/>
        </w:rPr>
        <w:t>1.</w:t>
      </w:r>
      <w:r>
        <w:rPr>
          <w:rFonts w:ascii="宋体" w:hAnsi="宋体"/>
          <w:sz w:val="24"/>
          <w:szCs w:val="24"/>
        </w:rPr>
        <w:t xml:space="preserve"> </w:t>
      </w:r>
      <w:r>
        <w:rPr>
          <w:rFonts w:hint="eastAsia" w:ascii="宋体" w:hAnsi="宋体"/>
          <w:sz w:val="24"/>
          <w:szCs w:val="24"/>
        </w:rPr>
        <w:t>获得所在学校推荐免试资格的应届本科毕业生；</w:t>
      </w:r>
    </w:p>
    <w:p w14:paraId="7A3A10DF">
      <w:pPr>
        <w:spacing w:line="360" w:lineRule="auto"/>
        <w:jc w:val="left"/>
        <w:rPr>
          <w:rFonts w:hint="eastAsia" w:ascii="宋体" w:hAnsi="宋体"/>
          <w:sz w:val="24"/>
          <w:szCs w:val="24"/>
        </w:rPr>
      </w:pPr>
      <w:r>
        <w:rPr>
          <w:rFonts w:hint="eastAsia" w:ascii="宋体" w:hAnsi="宋体"/>
          <w:sz w:val="24"/>
          <w:szCs w:val="24"/>
        </w:rPr>
        <w:t>2.</w:t>
      </w:r>
      <w:r>
        <w:rPr>
          <w:rFonts w:ascii="宋体" w:hAnsi="宋体"/>
          <w:sz w:val="24"/>
          <w:szCs w:val="24"/>
        </w:rPr>
        <w:t xml:space="preserve"> </w:t>
      </w:r>
      <w:r>
        <w:rPr>
          <w:rFonts w:hint="eastAsia" w:ascii="宋体" w:hAnsi="宋体"/>
          <w:sz w:val="24"/>
          <w:szCs w:val="24"/>
        </w:rPr>
        <w:t xml:space="preserve">2027年入学前获得本科毕业证书、学位证书； </w:t>
      </w:r>
    </w:p>
    <w:p w14:paraId="751CAAC7">
      <w:pPr>
        <w:spacing w:line="360" w:lineRule="auto"/>
        <w:jc w:val="left"/>
        <w:rPr>
          <w:rFonts w:hint="eastAsia" w:ascii="宋体" w:hAnsi="宋体"/>
          <w:sz w:val="24"/>
          <w:szCs w:val="24"/>
        </w:rPr>
      </w:pPr>
      <w:r>
        <w:rPr>
          <w:rFonts w:hint="eastAsia" w:ascii="宋体" w:hAnsi="宋体"/>
          <w:sz w:val="24"/>
          <w:szCs w:val="24"/>
        </w:rPr>
        <w:t>3. 推免生必须参加武汉理工大学化学化工学院组织的复试，且复试合格；</w:t>
      </w:r>
    </w:p>
    <w:p w14:paraId="0F8C859A">
      <w:pPr>
        <w:spacing w:line="360" w:lineRule="auto"/>
        <w:jc w:val="left"/>
        <w:rPr>
          <w:rFonts w:hint="eastAsia" w:ascii="宋体" w:hAnsi="宋体"/>
          <w:sz w:val="24"/>
          <w:szCs w:val="24"/>
        </w:rPr>
      </w:pPr>
      <w:r>
        <w:rPr>
          <w:rFonts w:hint="eastAsia" w:ascii="宋体" w:hAnsi="宋体"/>
          <w:sz w:val="24"/>
          <w:szCs w:val="24"/>
        </w:rPr>
        <w:t>4.</w:t>
      </w:r>
      <w:r>
        <w:rPr>
          <w:rFonts w:ascii="宋体" w:hAnsi="宋体"/>
          <w:sz w:val="24"/>
          <w:szCs w:val="24"/>
        </w:rPr>
        <w:t xml:space="preserve"> </w:t>
      </w:r>
      <w:r>
        <w:rPr>
          <w:rFonts w:hint="eastAsia" w:ascii="宋体" w:hAnsi="宋体"/>
          <w:sz w:val="24"/>
          <w:szCs w:val="24"/>
        </w:rPr>
        <w:t>申请本科直博者，应具有较强的科研创新能力和培养潜力。申请本科直博的考生务必在报名前与拟报考导师联系，取得该导师同意后方可报考，并致电备案。</w:t>
      </w:r>
    </w:p>
    <w:p w14:paraId="554ED38F">
      <w:pPr>
        <w:spacing w:line="360" w:lineRule="auto"/>
        <w:jc w:val="left"/>
        <w:rPr>
          <w:rFonts w:hint="eastAsia" w:ascii="宋体" w:hAnsi="宋体"/>
          <w:sz w:val="24"/>
          <w:szCs w:val="24"/>
        </w:rPr>
      </w:pPr>
    </w:p>
    <w:p w14:paraId="56FFE46E">
      <w:pPr>
        <w:spacing w:before="156" w:beforeLines="50" w:after="156" w:afterLines="50" w:line="360" w:lineRule="exact"/>
        <w:rPr>
          <w:rFonts w:hint="eastAsia" w:ascii="黑体" w:hAnsi="黑体" w:eastAsia="黑体"/>
          <w:sz w:val="30"/>
          <w:szCs w:val="30"/>
        </w:rPr>
      </w:pPr>
      <w:r>
        <w:rPr>
          <w:rFonts w:hint="eastAsia" w:ascii="黑体" w:hAnsi="黑体" w:eastAsia="黑体"/>
          <w:sz w:val="30"/>
          <w:szCs w:val="30"/>
        </w:rPr>
        <w:t>二、招生类别和招生人数</w:t>
      </w:r>
    </w:p>
    <w:p w14:paraId="5DA7BD9B">
      <w:pPr>
        <w:spacing w:before="156" w:beforeLines="50" w:after="156" w:afterLines="50" w:line="360" w:lineRule="exact"/>
        <w:rPr>
          <w:rFonts w:hint="eastAsia" w:ascii="楷体_GB2312" w:hAnsi="楷体_GB2312" w:eastAsia="楷体_GB2312" w:cs="楷体_GB2312"/>
          <w:sz w:val="30"/>
          <w:szCs w:val="30"/>
        </w:rPr>
      </w:pPr>
      <w:r>
        <w:rPr>
          <w:rFonts w:hint="eastAsia" w:ascii="楷体_GB2312" w:hAnsi="楷体_GB2312" w:eastAsia="楷体_GB2312" w:cs="楷体_GB2312"/>
          <w:sz w:val="30"/>
          <w:szCs w:val="30"/>
        </w:rPr>
        <w:t>（一）本科直博生</w:t>
      </w:r>
    </w:p>
    <w:tbl>
      <w:tblPr>
        <w:tblStyle w:val="6"/>
        <w:tblW w:w="0" w:type="auto"/>
        <w:jc w:val="center"/>
        <w:tblLayout w:type="fixed"/>
        <w:tblCellMar>
          <w:top w:w="0" w:type="dxa"/>
          <w:left w:w="108" w:type="dxa"/>
          <w:bottom w:w="0" w:type="dxa"/>
          <w:right w:w="108" w:type="dxa"/>
        </w:tblCellMar>
      </w:tblPr>
      <w:tblGrid>
        <w:gridCol w:w="1422"/>
        <w:gridCol w:w="1422"/>
        <w:gridCol w:w="1422"/>
        <w:gridCol w:w="1422"/>
        <w:gridCol w:w="1423"/>
      </w:tblGrid>
      <w:tr w14:paraId="3863CC6C">
        <w:tblPrEx>
          <w:tblCellMar>
            <w:top w:w="0" w:type="dxa"/>
            <w:left w:w="108" w:type="dxa"/>
            <w:bottom w:w="0" w:type="dxa"/>
            <w:right w:w="108" w:type="dxa"/>
          </w:tblCellMar>
        </w:tblPrEx>
        <w:trPr>
          <w:trHeight w:val="220" w:hRule="atLeast"/>
          <w:jc w:val="center"/>
        </w:trPr>
        <w:tc>
          <w:tcPr>
            <w:tcW w:w="1422" w:type="dxa"/>
            <w:tcBorders>
              <w:top w:val="single" w:color="auto" w:sz="4" w:space="0"/>
              <w:left w:val="single" w:color="auto" w:sz="4" w:space="0"/>
              <w:bottom w:val="single" w:color="auto" w:sz="4" w:space="0"/>
              <w:right w:val="single" w:color="auto" w:sz="4" w:space="0"/>
            </w:tcBorders>
            <w:noWrap/>
            <w:vAlign w:val="bottom"/>
          </w:tcPr>
          <w:p w14:paraId="200D25F2">
            <w:pPr>
              <w:widowControl/>
              <w:spacing w:line="360" w:lineRule="exact"/>
              <w:jc w:val="left"/>
              <w:rPr>
                <w:rFonts w:hint="eastAsia" w:ascii="楷体_GB2312" w:hAnsi="宋体" w:eastAsia="楷体_GB2312" w:cs="宋体"/>
                <w:color w:val="000000"/>
                <w:kern w:val="0"/>
                <w:sz w:val="24"/>
                <w:szCs w:val="24"/>
              </w:rPr>
            </w:pPr>
            <w:r>
              <w:rPr>
                <w:rFonts w:hint="eastAsia" w:ascii="楷体_GB2312" w:hAnsi="宋体" w:eastAsia="楷体_GB2312" w:cs="宋体"/>
                <w:color w:val="000000"/>
                <w:kern w:val="0"/>
                <w:sz w:val="24"/>
                <w:szCs w:val="24"/>
              </w:rPr>
              <w:t>序号</w:t>
            </w:r>
          </w:p>
        </w:tc>
        <w:tc>
          <w:tcPr>
            <w:tcW w:w="1422" w:type="dxa"/>
            <w:tcBorders>
              <w:top w:val="single" w:color="auto" w:sz="4" w:space="0"/>
              <w:left w:val="nil"/>
              <w:bottom w:val="single" w:color="auto" w:sz="4" w:space="0"/>
              <w:right w:val="single" w:color="auto" w:sz="4" w:space="0"/>
            </w:tcBorders>
            <w:noWrap/>
            <w:vAlign w:val="bottom"/>
          </w:tcPr>
          <w:p w14:paraId="7FA36125">
            <w:pPr>
              <w:widowControl/>
              <w:spacing w:line="360" w:lineRule="exact"/>
              <w:jc w:val="left"/>
              <w:rPr>
                <w:rFonts w:hint="eastAsia" w:ascii="楷体_GB2312" w:hAnsi="宋体" w:eastAsia="楷体_GB2312" w:cs="宋体"/>
                <w:color w:val="000000"/>
                <w:kern w:val="0"/>
                <w:sz w:val="24"/>
                <w:szCs w:val="24"/>
              </w:rPr>
            </w:pPr>
            <w:r>
              <w:rPr>
                <w:rFonts w:hint="eastAsia" w:ascii="楷体_GB2312" w:hAnsi="宋体" w:eastAsia="楷体_GB2312" w:cs="宋体"/>
                <w:color w:val="000000"/>
                <w:kern w:val="0"/>
                <w:sz w:val="24"/>
                <w:szCs w:val="24"/>
              </w:rPr>
              <w:t>专业名称</w:t>
            </w:r>
          </w:p>
        </w:tc>
        <w:tc>
          <w:tcPr>
            <w:tcW w:w="1422" w:type="dxa"/>
            <w:tcBorders>
              <w:top w:val="single" w:color="auto" w:sz="4" w:space="0"/>
              <w:left w:val="nil"/>
              <w:bottom w:val="single" w:color="auto" w:sz="4" w:space="0"/>
              <w:right w:val="single" w:color="auto" w:sz="4" w:space="0"/>
            </w:tcBorders>
            <w:noWrap/>
            <w:vAlign w:val="bottom"/>
          </w:tcPr>
          <w:p w14:paraId="5DB6A84E">
            <w:pPr>
              <w:widowControl/>
              <w:spacing w:line="360" w:lineRule="exact"/>
              <w:jc w:val="left"/>
              <w:rPr>
                <w:rFonts w:hint="eastAsia" w:ascii="楷体_GB2312" w:hAnsi="宋体" w:eastAsia="楷体_GB2312" w:cs="宋体"/>
                <w:color w:val="000000"/>
                <w:kern w:val="0"/>
                <w:sz w:val="24"/>
                <w:szCs w:val="24"/>
              </w:rPr>
            </w:pPr>
            <w:r>
              <w:rPr>
                <w:rFonts w:hint="eastAsia" w:ascii="楷体_GB2312" w:hAnsi="宋体" w:eastAsia="楷体_GB2312" w:cs="宋体"/>
                <w:color w:val="000000"/>
                <w:kern w:val="0"/>
                <w:sz w:val="24"/>
                <w:szCs w:val="24"/>
              </w:rPr>
              <w:t>专业代码</w:t>
            </w:r>
          </w:p>
        </w:tc>
        <w:tc>
          <w:tcPr>
            <w:tcW w:w="1422" w:type="dxa"/>
            <w:tcBorders>
              <w:top w:val="single" w:color="auto" w:sz="4" w:space="0"/>
              <w:left w:val="nil"/>
              <w:bottom w:val="single" w:color="auto" w:sz="4" w:space="0"/>
              <w:right w:val="single" w:color="auto" w:sz="4" w:space="0"/>
            </w:tcBorders>
            <w:noWrap/>
            <w:vAlign w:val="bottom"/>
          </w:tcPr>
          <w:p w14:paraId="6FD8F73C">
            <w:pPr>
              <w:widowControl/>
              <w:spacing w:line="360" w:lineRule="exact"/>
              <w:jc w:val="left"/>
              <w:rPr>
                <w:rFonts w:hint="eastAsia" w:ascii="楷体_GB2312" w:hAnsi="宋体" w:eastAsia="楷体_GB2312" w:cs="宋体"/>
                <w:color w:val="000000"/>
                <w:kern w:val="0"/>
                <w:sz w:val="24"/>
                <w:szCs w:val="24"/>
              </w:rPr>
            </w:pPr>
            <w:r>
              <w:rPr>
                <w:rFonts w:hint="eastAsia" w:ascii="楷体_GB2312" w:hAnsi="宋体" w:eastAsia="楷体_GB2312" w:cs="宋体"/>
                <w:color w:val="000000"/>
                <w:kern w:val="0"/>
                <w:sz w:val="24"/>
                <w:szCs w:val="24"/>
              </w:rPr>
              <w:t>学习形式</w:t>
            </w:r>
          </w:p>
        </w:tc>
        <w:tc>
          <w:tcPr>
            <w:tcW w:w="1423" w:type="dxa"/>
            <w:tcBorders>
              <w:top w:val="single" w:color="auto" w:sz="4" w:space="0"/>
              <w:left w:val="nil"/>
              <w:bottom w:val="single" w:color="auto" w:sz="4" w:space="0"/>
              <w:right w:val="single" w:color="auto" w:sz="4" w:space="0"/>
            </w:tcBorders>
            <w:noWrap/>
            <w:vAlign w:val="bottom"/>
          </w:tcPr>
          <w:p w14:paraId="54BD64C9">
            <w:pPr>
              <w:widowControl/>
              <w:spacing w:line="360" w:lineRule="exact"/>
              <w:jc w:val="left"/>
              <w:rPr>
                <w:rFonts w:hint="eastAsia" w:ascii="楷体_GB2312" w:hAnsi="宋体" w:eastAsia="楷体_GB2312" w:cs="宋体"/>
                <w:color w:val="000000"/>
                <w:kern w:val="0"/>
                <w:sz w:val="24"/>
                <w:szCs w:val="24"/>
              </w:rPr>
            </w:pPr>
            <w:r>
              <w:rPr>
                <w:rFonts w:hint="eastAsia" w:ascii="楷体_GB2312" w:hAnsi="宋体" w:eastAsia="楷体_GB2312" w:cs="宋体"/>
                <w:color w:val="000000"/>
                <w:kern w:val="0"/>
                <w:sz w:val="24"/>
                <w:szCs w:val="24"/>
              </w:rPr>
              <w:t>拟招生人数</w:t>
            </w:r>
          </w:p>
        </w:tc>
      </w:tr>
      <w:tr w14:paraId="293B96D9">
        <w:tblPrEx>
          <w:tblCellMar>
            <w:top w:w="0" w:type="dxa"/>
            <w:left w:w="108" w:type="dxa"/>
            <w:bottom w:w="0" w:type="dxa"/>
            <w:right w:w="108" w:type="dxa"/>
          </w:tblCellMar>
        </w:tblPrEx>
        <w:trPr>
          <w:trHeight w:val="220" w:hRule="atLeast"/>
          <w:jc w:val="center"/>
        </w:trPr>
        <w:tc>
          <w:tcPr>
            <w:tcW w:w="1422" w:type="dxa"/>
            <w:tcBorders>
              <w:top w:val="single" w:color="auto" w:sz="4" w:space="0"/>
              <w:left w:val="single" w:color="auto" w:sz="4" w:space="0"/>
              <w:bottom w:val="single" w:color="auto" w:sz="4" w:space="0"/>
              <w:right w:val="single" w:color="auto" w:sz="4" w:space="0"/>
            </w:tcBorders>
            <w:noWrap/>
            <w:vAlign w:val="center"/>
          </w:tcPr>
          <w:p w14:paraId="1CF62051">
            <w:pPr>
              <w:widowControl/>
              <w:spacing w:line="360" w:lineRule="exact"/>
              <w:jc w:val="center"/>
              <w:rPr>
                <w:rFonts w:hint="eastAsia" w:ascii="楷体_GB2312" w:hAnsi="宋体" w:eastAsia="楷体_GB2312" w:cs="宋体"/>
                <w:color w:val="000000"/>
                <w:kern w:val="0"/>
                <w:sz w:val="24"/>
                <w:szCs w:val="24"/>
              </w:rPr>
            </w:pPr>
            <w:r>
              <w:rPr>
                <w:rFonts w:hint="eastAsia" w:ascii="宋体" w:hAnsi="宋体" w:cs="宋体"/>
                <w:color w:val="000000"/>
                <w:kern w:val="0"/>
                <w:sz w:val="24"/>
                <w:szCs w:val="24"/>
              </w:rPr>
              <w:t>1</w:t>
            </w:r>
          </w:p>
        </w:tc>
        <w:tc>
          <w:tcPr>
            <w:tcW w:w="1422" w:type="dxa"/>
            <w:tcBorders>
              <w:top w:val="single" w:color="auto" w:sz="4" w:space="0"/>
              <w:left w:val="nil"/>
              <w:bottom w:val="single" w:color="auto" w:sz="4" w:space="0"/>
              <w:right w:val="single" w:color="auto" w:sz="4" w:space="0"/>
            </w:tcBorders>
            <w:noWrap/>
            <w:vAlign w:val="center"/>
          </w:tcPr>
          <w:p w14:paraId="274F2C26">
            <w:pPr>
              <w:widowControl/>
              <w:spacing w:line="360" w:lineRule="exact"/>
              <w:jc w:val="center"/>
              <w:rPr>
                <w:rFonts w:hint="eastAsia" w:ascii="楷体_GB2312" w:hAnsi="宋体" w:eastAsia="楷体_GB2312" w:cs="宋体"/>
                <w:color w:val="000000"/>
                <w:kern w:val="0"/>
                <w:sz w:val="24"/>
                <w:szCs w:val="24"/>
              </w:rPr>
            </w:pPr>
            <w:r>
              <w:rPr>
                <w:rFonts w:hint="eastAsia" w:ascii="宋体" w:hAnsi="宋体" w:cs="宋体"/>
                <w:color w:val="000000"/>
                <w:kern w:val="0"/>
                <w:sz w:val="24"/>
                <w:szCs w:val="24"/>
              </w:rPr>
              <w:t>化学</w:t>
            </w:r>
          </w:p>
        </w:tc>
        <w:tc>
          <w:tcPr>
            <w:tcW w:w="1422" w:type="dxa"/>
            <w:tcBorders>
              <w:top w:val="single" w:color="auto" w:sz="4" w:space="0"/>
              <w:left w:val="nil"/>
              <w:bottom w:val="single" w:color="auto" w:sz="4" w:space="0"/>
              <w:right w:val="single" w:color="auto" w:sz="4" w:space="0"/>
            </w:tcBorders>
            <w:noWrap/>
            <w:vAlign w:val="center"/>
          </w:tcPr>
          <w:p w14:paraId="3C6342FC">
            <w:pPr>
              <w:widowControl/>
              <w:spacing w:line="360" w:lineRule="exact"/>
              <w:jc w:val="center"/>
              <w:rPr>
                <w:rFonts w:hint="eastAsia" w:ascii="楷体_GB2312" w:hAnsi="宋体" w:eastAsia="楷体_GB2312" w:cs="宋体"/>
                <w:color w:val="000000"/>
                <w:kern w:val="0"/>
                <w:sz w:val="24"/>
                <w:szCs w:val="24"/>
              </w:rPr>
            </w:pPr>
            <w:r>
              <w:rPr>
                <w:rFonts w:hint="eastAsia" w:ascii="宋体" w:hAnsi="宋体" w:cs="宋体"/>
                <w:color w:val="000000"/>
                <w:kern w:val="0"/>
                <w:sz w:val="24"/>
                <w:szCs w:val="24"/>
              </w:rPr>
              <w:t>070300</w:t>
            </w:r>
          </w:p>
        </w:tc>
        <w:tc>
          <w:tcPr>
            <w:tcW w:w="1422" w:type="dxa"/>
            <w:tcBorders>
              <w:top w:val="single" w:color="auto" w:sz="4" w:space="0"/>
              <w:left w:val="nil"/>
              <w:bottom w:val="single" w:color="auto" w:sz="4" w:space="0"/>
              <w:right w:val="single" w:color="auto" w:sz="4" w:space="0"/>
            </w:tcBorders>
            <w:noWrap/>
            <w:vAlign w:val="bottom"/>
          </w:tcPr>
          <w:p w14:paraId="320117F8">
            <w:pPr>
              <w:widowControl/>
              <w:spacing w:line="360" w:lineRule="exact"/>
              <w:jc w:val="center"/>
              <w:rPr>
                <w:rFonts w:hint="eastAsia" w:ascii="楷体_GB2312" w:hAnsi="宋体" w:eastAsia="楷体_GB2312" w:cs="宋体"/>
                <w:color w:val="000000"/>
                <w:kern w:val="0"/>
                <w:sz w:val="24"/>
                <w:szCs w:val="24"/>
              </w:rPr>
            </w:pPr>
            <w:r>
              <w:rPr>
                <w:rFonts w:hint="eastAsia" w:ascii="楷体_GB2312" w:hAnsi="宋体" w:eastAsia="楷体_GB2312" w:cs="宋体"/>
                <w:color w:val="000000"/>
                <w:kern w:val="0"/>
                <w:sz w:val="24"/>
                <w:szCs w:val="24"/>
              </w:rPr>
              <w:t>全日制</w:t>
            </w:r>
          </w:p>
        </w:tc>
        <w:tc>
          <w:tcPr>
            <w:tcW w:w="1423" w:type="dxa"/>
            <w:tcBorders>
              <w:top w:val="single" w:color="auto" w:sz="4" w:space="0"/>
              <w:left w:val="nil"/>
              <w:bottom w:val="single" w:color="auto" w:sz="4" w:space="0"/>
              <w:right w:val="single" w:color="auto" w:sz="4" w:space="0"/>
            </w:tcBorders>
            <w:noWrap/>
            <w:vAlign w:val="bottom"/>
          </w:tcPr>
          <w:p w14:paraId="42DC95AC">
            <w:pPr>
              <w:widowControl/>
              <w:spacing w:line="360" w:lineRule="exact"/>
              <w:jc w:val="center"/>
              <w:rPr>
                <w:rFonts w:eastAsia="楷体_GB2312" w:cs="Calibri"/>
                <w:color w:val="000000"/>
                <w:kern w:val="0"/>
                <w:sz w:val="24"/>
                <w:szCs w:val="24"/>
              </w:rPr>
            </w:pPr>
            <w:r>
              <w:rPr>
                <w:rFonts w:hint="eastAsia" w:eastAsia="楷体_GB2312" w:cs="Calibri"/>
                <w:color w:val="000000"/>
                <w:kern w:val="0"/>
                <w:sz w:val="24"/>
                <w:szCs w:val="24"/>
              </w:rPr>
              <w:t>4</w:t>
            </w:r>
          </w:p>
        </w:tc>
      </w:tr>
      <w:tr w14:paraId="069DEFB9">
        <w:tblPrEx>
          <w:tblCellMar>
            <w:top w:w="0" w:type="dxa"/>
            <w:left w:w="108" w:type="dxa"/>
            <w:bottom w:w="0" w:type="dxa"/>
            <w:right w:w="108" w:type="dxa"/>
          </w:tblCellMar>
        </w:tblPrEx>
        <w:trPr>
          <w:trHeight w:val="220" w:hRule="atLeast"/>
          <w:jc w:val="center"/>
        </w:trPr>
        <w:tc>
          <w:tcPr>
            <w:tcW w:w="1422" w:type="dxa"/>
            <w:tcBorders>
              <w:top w:val="single" w:color="auto" w:sz="4" w:space="0"/>
              <w:left w:val="single" w:color="auto" w:sz="4" w:space="0"/>
              <w:bottom w:val="single" w:color="auto" w:sz="4" w:space="0"/>
              <w:right w:val="single" w:color="auto" w:sz="4" w:space="0"/>
            </w:tcBorders>
            <w:noWrap/>
            <w:vAlign w:val="center"/>
          </w:tcPr>
          <w:p w14:paraId="0C9B5B13">
            <w:pPr>
              <w:widowControl/>
              <w:spacing w:line="36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1422" w:type="dxa"/>
            <w:tcBorders>
              <w:top w:val="single" w:color="auto" w:sz="4" w:space="0"/>
              <w:left w:val="nil"/>
              <w:bottom w:val="single" w:color="auto" w:sz="4" w:space="0"/>
              <w:right w:val="single" w:color="auto" w:sz="4" w:space="0"/>
            </w:tcBorders>
            <w:noWrap/>
            <w:vAlign w:val="center"/>
          </w:tcPr>
          <w:p w14:paraId="3F01A8B7">
            <w:pPr>
              <w:widowControl/>
              <w:spacing w:line="36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材料与化工</w:t>
            </w:r>
          </w:p>
        </w:tc>
        <w:tc>
          <w:tcPr>
            <w:tcW w:w="1422" w:type="dxa"/>
            <w:tcBorders>
              <w:top w:val="single" w:color="auto" w:sz="4" w:space="0"/>
              <w:left w:val="nil"/>
              <w:bottom w:val="single" w:color="auto" w:sz="4" w:space="0"/>
              <w:right w:val="single" w:color="auto" w:sz="4" w:space="0"/>
            </w:tcBorders>
            <w:noWrap/>
            <w:vAlign w:val="center"/>
          </w:tcPr>
          <w:p w14:paraId="3DB252E4">
            <w:pPr>
              <w:widowControl/>
              <w:spacing w:line="36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085602</w:t>
            </w:r>
          </w:p>
        </w:tc>
        <w:tc>
          <w:tcPr>
            <w:tcW w:w="1422" w:type="dxa"/>
            <w:tcBorders>
              <w:top w:val="single" w:color="auto" w:sz="4" w:space="0"/>
              <w:left w:val="nil"/>
              <w:bottom w:val="single" w:color="auto" w:sz="4" w:space="0"/>
              <w:right w:val="single" w:color="auto" w:sz="4" w:space="0"/>
            </w:tcBorders>
            <w:noWrap/>
            <w:vAlign w:val="bottom"/>
          </w:tcPr>
          <w:p w14:paraId="7D22C992">
            <w:pPr>
              <w:widowControl/>
              <w:spacing w:line="360" w:lineRule="exact"/>
              <w:jc w:val="center"/>
              <w:rPr>
                <w:rFonts w:hint="eastAsia" w:ascii="楷体_GB2312" w:hAnsi="宋体" w:eastAsia="楷体_GB2312" w:cs="宋体"/>
                <w:color w:val="000000"/>
                <w:kern w:val="0"/>
                <w:sz w:val="24"/>
                <w:szCs w:val="24"/>
              </w:rPr>
            </w:pPr>
            <w:r>
              <w:rPr>
                <w:rFonts w:hint="eastAsia" w:ascii="楷体_GB2312" w:hAnsi="宋体" w:eastAsia="楷体_GB2312" w:cs="宋体"/>
                <w:color w:val="000000"/>
                <w:kern w:val="0"/>
                <w:sz w:val="24"/>
                <w:szCs w:val="24"/>
              </w:rPr>
              <w:t>全日制</w:t>
            </w:r>
          </w:p>
        </w:tc>
        <w:tc>
          <w:tcPr>
            <w:tcW w:w="1423" w:type="dxa"/>
            <w:tcBorders>
              <w:top w:val="single" w:color="auto" w:sz="4" w:space="0"/>
              <w:left w:val="nil"/>
              <w:bottom w:val="single" w:color="auto" w:sz="4" w:space="0"/>
              <w:right w:val="single" w:color="auto" w:sz="4" w:space="0"/>
            </w:tcBorders>
            <w:noWrap/>
            <w:vAlign w:val="bottom"/>
          </w:tcPr>
          <w:p w14:paraId="3A9BD096">
            <w:pPr>
              <w:widowControl/>
              <w:spacing w:line="360" w:lineRule="exact"/>
              <w:jc w:val="center"/>
              <w:rPr>
                <w:rFonts w:eastAsia="楷体_GB2312" w:cs="Calibri"/>
                <w:color w:val="000000"/>
                <w:kern w:val="0"/>
                <w:sz w:val="24"/>
                <w:szCs w:val="24"/>
              </w:rPr>
            </w:pPr>
            <w:r>
              <w:rPr>
                <w:rFonts w:hint="eastAsia" w:eastAsia="楷体_GB2312" w:cs="Calibri"/>
                <w:color w:val="000000"/>
                <w:kern w:val="0"/>
                <w:sz w:val="24"/>
                <w:szCs w:val="24"/>
              </w:rPr>
              <w:t>1</w:t>
            </w:r>
          </w:p>
        </w:tc>
      </w:tr>
    </w:tbl>
    <w:p w14:paraId="7DA5B072">
      <w:pPr>
        <w:spacing w:before="156" w:beforeLines="50" w:after="156" w:afterLines="50" w:line="360" w:lineRule="exact"/>
        <w:ind w:firstLine="560" w:firstLineChars="200"/>
        <w:rPr>
          <w:rFonts w:hint="eastAsia" w:ascii="楷体_GB2312" w:hAnsi="黑体" w:eastAsia="楷体_GB2312"/>
          <w:sz w:val="28"/>
          <w:szCs w:val="28"/>
        </w:rPr>
      </w:pPr>
      <w:r>
        <w:rPr>
          <w:rFonts w:hint="eastAsia" w:ascii="楷体_GB2312" w:hAnsi="黑体" w:eastAsia="楷体_GB2312"/>
          <w:sz w:val="28"/>
          <w:szCs w:val="28"/>
        </w:rPr>
        <w:t>注：本科直博生实际招生人数可根据实际情况做适当调整</w:t>
      </w:r>
    </w:p>
    <w:p w14:paraId="08EE85ED">
      <w:pPr>
        <w:spacing w:before="156" w:beforeLines="50" w:after="156" w:afterLines="50" w:line="360" w:lineRule="exact"/>
        <w:rPr>
          <w:rFonts w:hint="eastAsia" w:ascii="楷体_GB2312" w:hAnsi="楷体_GB2312" w:eastAsia="楷体_GB2312" w:cs="楷体_GB2312"/>
          <w:sz w:val="30"/>
          <w:szCs w:val="30"/>
        </w:rPr>
      </w:pPr>
      <w:r>
        <w:rPr>
          <w:rFonts w:hint="eastAsia" w:ascii="楷体_GB2312" w:hAnsi="楷体_GB2312" w:eastAsia="楷体_GB2312" w:cs="楷体_GB2312"/>
          <w:sz w:val="30"/>
          <w:szCs w:val="30"/>
        </w:rPr>
        <w:t>（二）硕士研究生</w:t>
      </w:r>
    </w:p>
    <w:tbl>
      <w:tblPr>
        <w:tblStyle w:val="6"/>
        <w:tblW w:w="0" w:type="auto"/>
        <w:jc w:val="center"/>
        <w:tblLayout w:type="fixed"/>
        <w:tblCellMar>
          <w:top w:w="0" w:type="dxa"/>
          <w:left w:w="108" w:type="dxa"/>
          <w:bottom w:w="0" w:type="dxa"/>
          <w:right w:w="108" w:type="dxa"/>
        </w:tblCellMar>
      </w:tblPr>
      <w:tblGrid>
        <w:gridCol w:w="768"/>
        <w:gridCol w:w="2693"/>
        <w:gridCol w:w="1294"/>
        <w:gridCol w:w="1420"/>
        <w:gridCol w:w="1420"/>
      </w:tblGrid>
      <w:tr w14:paraId="676D614D">
        <w:tblPrEx>
          <w:tblCellMar>
            <w:top w:w="0" w:type="dxa"/>
            <w:left w:w="108" w:type="dxa"/>
            <w:bottom w:w="0" w:type="dxa"/>
            <w:right w:w="108" w:type="dxa"/>
          </w:tblCellMar>
        </w:tblPrEx>
        <w:trPr>
          <w:trHeight w:val="270" w:hRule="atLeast"/>
          <w:jc w:val="center"/>
        </w:trPr>
        <w:tc>
          <w:tcPr>
            <w:tcW w:w="768" w:type="dxa"/>
            <w:tcBorders>
              <w:top w:val="single" w:color="auto" w:sz="4" w:space="0"/>
              <w:left w:val="single" w:color="auto" w:sz="4" w:space="0"/>
              <w:bottom w:val="single" w:color="auto" w:sz="4" w:space="0"/>
              <w:right w:val="single" w:color="auto" w:sz="4" w:space="0"/>
            </w:tcBorders>
            <w:noWrap/>
            <w:vAlign w:val="bottom"/>
          </w:tcPr>
          <w:p w14:paraId="3D02130C">
            <w:pPr>
              <w:widowControl/>
              <w:spacing w:line="360" w:lineRule="exact"/>
              <w:jc w:val="left"/>
              <w:rPr>
                <w:rFonts w:hint="eastAsia" w:ascii="楷体_GB2312" w:hAnsi="宋体" w:eastAsia="楷体_GB2312" w:cs="宋体"/>
                <w:color w:val="000000"/>
                <w:kern w:val="0"/>
                <w:sz w:val="24"/>
                <w:szCs w:val="24"/>
              </w:rPr>
            </w:pPr>
            <w:r>
              <w:rPr>
                <w:rFonts w:hint="eastAsia" w:ascii="楷体_GB2312" w:hAnsi="宋体" w:eastAsia="楷体_GB2312" w:cs="宋体"/>
                <w:color w:val="000000"/>
                <w:kern w:val="0"/>
                <w:sz w:val="24"/>
                <w:szCs w:val="24"/>
              </w:rPr>
              <w:t>序号</w:t>
            </w:r>
          </w:p>
        </w:tc>
        <w:tc>
          <w:tcPr>
            <w:tcW w:w="2693" w:type="dxa"/>
            <w:tcBorders>
              <w:top w:val="single" w:color="auto" w:sz="4" w:space="0"/>
              <w:left w:val="nil"/>
              <w:bottom w:val="single" w:color="auto" w:sz="4" w:space="0"/>
              <w:right w:val="single" w:color="auto" w:sz="4" w:space="0"/>
            </w:tcBorders>
            <w:noWrap/>
            <w:vAlign w:val="bottom"/>
          </w:tcPr>
          <w:p w14:paraId="0719BC60">
            <w:pPr>
              <w:widowControl/>
              <w:spacing w:line="360" w:lineRule="exact"/>
              <w:jc w:val="left"/>
              <w:rPr>
                <w:rFonts w:hint="eastAsia" w:ascii="楷体_GB2312" w:hAnsi="宋体" w:eastAsia="楷体_GB2312" w:cs="宋体"/>
                <w:color w:val="000000"/>
                <w:kern w:val="0"/>
                <w:sz w:val="24"/>
                <w:szCs w:val="24"/>
              </w:rPr>
            </w:pPr>
            <w:r>
              <w:rPr>
                <w:rFonts w:hint="eastAsia" w:ascii="楷体_GB2312" w:hAnsi="宋体" w:eastAsia="楷体_GB2312" w:cs="宋体"/>
                <w:color w:val="000000"/>
                <w:kern w:val="0"/>
                <w:sz w:val="24"/>
                <w:szCs w:val="24"/>
              </w:rPr>
              <w:t>专业名称</w:t>
            </w:r>
          </w:p>
        </w:tc>
        <w:tc>
          <w:tcPr>
            <w:tcW w:w="1294" w:type="dxa"/>
            <w:tcBorders>
              <w:top w:val="single" w:color="auto" w:sz="4" w:space="0"/>
              <w:left w:val="nil"/>
              <w:bottom w:val="single" w:color="auto" w:sz="4" w:space="0"/>
              <w:right w:val="single" w:color="auto" w:sz="4" w:space="0"/>
            </w:tcBorders>
            <w:noWrap/>
            <w:vAlign w:val="bottom"/>
          </w:tcPr>
          <w:p w14:paraId="18004B7E">
            <w:pPr>
              <w:widowControl/>
              <w:spacing w:line="360" w:lineRule="exact"/>
              <w:jc w:val="left"/>
              <w:rPr>
                <w:rFonts w:hint="eastAsia" w:ascii="楷体_GB2312" w:hAnsi="宋体" w:eastAsia="楷体_GB2312" w:cs="宋体"/>
                <w:color w:val="000000"/>
                <w:kern w:val="0"/>
                <w:sz w:val="24"/>
                <w:szCs w:val="24"/>
              </w:rPr>
            </w:pPr>
            <w:r>
              <w:rPr>
                <w:rFonts w:hint="eastAsia" w:ascii="楷体_GB2312" w:hAnsi="宋体" w:eastAsia="楷体_GB2312" w:cs="宋体"/>
                <w:color w:val="000000"/>
                <w:kern w:val="0"/>
                <w:sz w:val="24"/>
                <w:szCs w:val="24"/>
              </w:rPr>
              <w:t>专业代码</w:t>
            </w:r>
          </w:p>
        </w:tc>
        <w:tc>
          <w:tcPr>
            <w:tcW w:w="1420" w:type="dxa"/>
            <w:tcBorders>
              <w:top w:val="single" w:color="auto" w:sz="4" w:space="0"/>
              <w:left w:val="nil"/>
              <w:bottom w:val="single" w:color="auto" w:sz="4" w:space="0"/>
              <w:right w:val="single" w:color="auto" w:sz="4" w:space="0"/>
            </w:tcBorders>
            <w:noWrap/>
            <w:vAlign w:val="bottom"/>
          </w:tcPr>
          <w:p w14:paraId="6D2C11A0">
            <w:pPr>
              <w:widowControl/>
              <w:spacing w:line="360" w:lineRule="exact"/>
              <w:jc w:val="left"/>
              <w:rPr>
                <w:rFonts w:hint="eastAsia" w:ascii="楷体_GB2312" w:hAnsi="宋体" w:eastAsia="楷体_GB2312" w:cs="宋体"/>
                <w:color w:val="000000"/>
                <w:kern w:val="0"/>
                <w:sz w:val="24"/>
                <w:szCs w:val="24"/>
              </w:rPr>
            </w:pPr>
            <w:r>
              <w:rPr>
                <w:rFonts w:hint="eastAsia" w:ascii="楷体_GB2312" w:hAnsi="宋体" w:eastAsia="楷体_GB2312" w:cs="宋体"/>
                <w:color w:val="000000"/>
                <w:kern w:val="0"/>
                <w:sz w:val="24"/>
                <w:szCs w:val="24"/>
              </w:rPr>
              <w:t>学习形式</w:t>
            </w:r>
          </w:p>
        </w:tc>
        <w:tc>
          <w:tcPr>
            <w:tcW w:w="1420" w:type="dxa"/>
            <w:tcBorders>
              <w:top w:val="single" w:color="auto" w:sz="4" w:space="0"/>
              <w:left w:val="nil"/>
              <w:bottom w:val="single" w:color="auto" w:sz="4" w:space="0"/>
              <w:right w:val="single" w:color="auto" w:sz="4" w:space="0"/>
            </w:tcBorders>
            <w:noWrap/>
            <w:vAlign w:val="bottom"/>
          </w:tcPr>
          <w:p w14:paraId="6A3E911C">
            <w:pPr>
              <w:widowControl/>
              <w:spacing w:line="360" w:lineRule="exact"/>
              <w:jc w:val="left"/>
              <w:rPr>
                <w:rFonts w:hint="eastAsia" w:ascii="楷体_GB2312" w:hAnsi="宋体" w:eastAsia="楷体_GB2312" w:cs="宋体"/>
                <w:color w:val="000000"/>
                <w:kern w:val="0"/>
                <w:sz w:val="24"/>
                <w:szCs w:val="24"/>
              </w:rPr>
            </w:pPr>
            <w:r>
              <w:rPr>
                <w:rFonts w:hint="eastAsia" w:ascii="楷体_GB2312" w:hAnsi="宋体" w:eastAsia="楷体_GB2312" w:cs="宋体"/>
                <w:color w:val="000000"/>
                <w:kern w:val="0"/>
                <w:sz w:val="24"/>
                <w:szCs w:val="24"/>
              </w:rPr>
              <w:t>拟招生人数</w:t>
            </w:r>
          </w:p>
        </w:tc>
      </w:tr>
      <w:tr w14:paraId="1550E5CA">
        <w:tblPrEx>
          <w:tblCellMar>
            <w:top w:w="0" w:type="dxa"/>
            <w:left w:w="108" w:type="dxa"/>
            <w:bottom w:w="0" w:type="dxa"/>
            <w:right w:w="108" w:type="dxa"/>
          </w:tblCellMar>
        </w:tblPrEx>
        <w:trPr>
          <w:trHeight w:val="270" w:hRule="atLeast"/>
          <w:jc w:val="center"/>
        </w:trPr>
        <w:tc>
          <w:tcPr>
            <w:tcW w:w="768" w:type="dxa"/>
            <w:tcBorders>
              <w:top w:val="single" w:color="auto" w:sz="4" w:space="0"/>
              <w:left w:val="single" w:color="auto" w:sz="4" w:space="0"/>
              <w:bottom w:val="single" w:color="auto" w:sz="4" w:space="0"/>
              <w:right w:val="single" w:color="auto" w:sz="4" w:space="0"/>
            </w:tcBorders>
            <w:noWrap/>
            <w:vAlign w:val="center"/>
          </w:tcPr>
          <w:p w14:paraId="05F96E76">
            <w:pPr>
              <w:widowControl/>
              <w:spacing w:line="360" w:lineRule="exact"/>
              <w:jc w:val="center"/>
              <w:rPr>
                <w:rFonts w:hint="eastAsia" w:ascii="楷体_GB2312" w:hAnsi="宋体" w:eastAsia="楷体_GB2312" w:cs="宋体"/>
                <w:color w:val="000000"/>
                <w:kern w:val="0"/>
                <w:sz w:val="24"/>
                <w:szCs w:val="24"/>
              </w:rPr>
            </w:pPr>
            <w:r>
              <w:rPr>
                <w:rFonts w:hint="eastAsia" w:ascii="宋体" w:hAnsi="宋体" w:cs="宋体"/>
                <w:color w:val="000000"/>
                <w:kern w:val="0"/>
                <w:sz w:val="24"/>
                <w:szCs w:val="24"/>
              </w:rPr>
              <w:t>1</w:t>
            </w:r>
          </w:p>
        </w:tc>
        <w:tc>
          <w:tcPr>
            <w:tcW w:w="2693" w:type="dxa"/>
            <w:tcBorders>
              <w:top w:val="single" w:color="auto" w:sz="4" w:space="0"/>
              <w:left w:val="nil"/>
              <w:bottom w:val="single" w:color="auto" w:sz="4" w:space="0"/>
              <w:right w:val="single" w:color="auto" w:sz="4" w:space="0"/>
            </w:tcBorders>
            <w:noWrap/>
            <w:vAlign w:val="center"/>
          </w:tcPr>
          <w:p w14:paraId="7B9264C9">
            <w:pPr>
              <w:widowControl/>
              <w:spacing w:line="360" w:lineRule="exact"/>
              <w:jc w:val="center"/>
              <w:rPr>
                <w:rFonts w:hint="eastAsia" w:ascii="楷体_GB2312" w:hAnsi="宋体" w:eastAsia="楷体_GB2312" w:cs="宋体"/>
                <w:color w:val="000000"/>
                <w:kern w:val="0"/>
                <w:sz w:val="24"/>
                <w:szCs w:val="24"/>
              </w:rPr>
            </w:pPr>
            <w:r>
              <w:rPr>
                <w:rFonts w:hint="eastAsia" w:ascii="宋体" w:hAnsi="宋体" w:cs="宋体"/>
                <w:color w:val="000000"/>
                <w:kern w:val="0"/>
                <w:sz w:val="24"/>
                <w:szCs w:val="24"/>
              </w:rPr>
              <w:t>化学</w:t>
            </w:r>
          </w:p>
        </w:tc>
        <w:tc>
          <w:tcPr>
            <w:tcW w:w="1294" w:type="dxa"/>
            <w:tcBorders>
              <w:top w:val="single" w:color="auto" w:sz="4" w:space="0"/>
              <w:left w:val="nil"/>
              <w:bottom w:val="single" w:color="auto" w:sz="4" w:space="0"/>
              <w:right w:val="single" w:color="auto" w:sz="4" w:space="0"/>
            </w:tcBorders>
            <w:noWrap/>
            <w:vAlign w:val="center"/>
          </w:tcPr>
          <w:p w14:paraId="2B1DD0E9">
            <w:pPr>
              <w:widowControl/>
              <w:spacing w:line="360" w:lineRule="exact"/>
              <w:jc w:val="center"/>
              <w:rPr>
                <w:rFonts w:hint="eastAsia" w:ascii="楷体_GB2312" w:hAnsi="宋体" w:eastAsia="楷体_GB2312" w:cs="宋体"/>
                <w:color w:val="000000"/>
                <w:kern w:val="0"/>
                <w:sz w:val="24"/>
                <w:szCs w:val="24"/>
              </w:rPr>
            </w:pPr>
            <w:r>
              <w:rPr>
                <w:rFonts w:hint="eastAsia" w:ascii="宋体" w:hAnsi="宋体" w:cs="宋体"/>
                <w:color w:val="000000"/>
                <w:kern w:val="0"/>
                <w:sz w:val="24"/>
                <w:szCs w:val="24"/>
              </w:rPr>
              <w:t>070300</w:t>
            </w:r>
          </w:p>
        </w:tc>
        <w:tc>
          <w:tcPr>
            <w:tcW w:w="1420" w:type="dxa"/>
            <w:tcBorders>
              <w:top w:val="single" w:color="auto" w:sz="4" w:space="0"/>
              <w:left w:val="nil"/>
              <w:bottom w:val="single" w:color="auto" w:sz="4" w:space="0"/>
              <w:right w:val="single" w:color="auto" w:sz="4" w:space="0"/>
            </w:tcBorders>
            <w:noWrap/>
            <w:vAlign w:val="center"/>
          </w:tcPr>
          <w:p w14:paraId="02669915">
            <w:pPr>
              <w:widowControl/>
              <w:spacing w:line="36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全日制</w:t>
            </w:r>
          </w:p>
        </w:tc>
        <w:tc>
          <w:tcPr>
            <w:tcW w:w="1420" w:type="dxa"/>
            <w:tcBorders>
              <w:top w:val="single" w:color="auto" w:sz="4" w:space="0"/>
              <w:left w:val="nil"/>
              <w:bottom w:val="single" w:color="auto" w:sz="4" w:space="0"/>
              <w:right w:val="single" w:color="auto" w:sz="4" w:space="0"/>
            </w:tcBorders>
            <w:noWrap/>
            <w:vAlign w:val="center"/>
          </w:tcPr>
          <w:p w14:paraId="426F96F8">
            <w:pPr>
              <w:widowControl/>
              <w:spacing w:line="360" w:lineRule="exact"/>
              <w:jc w:val="center"/>
              <w:rPr>
                <w:rFonts w:hint="eastAsia" w:ascii="楷体_GB2312" w:hAnsi="宋体" w:eastAsia="楷体_GB2312" w:cs="宋体"/>
                <w:color w:val="000000"/>
                <w:kern w:val="0"/>
                <w:sz w:val="24"/>
                <w:szCs w:val="24"/>
              </w:rPr>
            </w:pPr>
            <w:r>
              <w:rPr>
                <w:rFonts w:hint="eastAsia" w:ascii="楷体_GB2312" w:hAnsi="宋体" w:eastAsia="楷体_GB2312" w:cs="宋体"/>
                <w:color w:val="000000"/>
                <w:kern w:val="0"/>
                <w:sz w:val="24"/>
                <w:szCs w:val="24"/>
              </w:rPr>
              <w:t>10</w:t>
            </w:r>
          </w:p>
        </w:tc>
      </w:tr>
      <w:tr w14:paraId="5E64D291">
        <w:tblPrEx>
          <w:tblCellMar>
            <w:top w:w="0" w:type="dxa"/>
            <w:left w:w="108" w:type="dxa"/>
            <w:bottom w:w="0" w:type="dxa"/>
            <w:right w:w="108" w:type="dxa"/>
          </w:tblCellMar>
        </w:tblPrEx>
        <w:trPr>
          <w:trHeight w:val="270" w:hRule="atLeast"/>
          <w:jc w:val="center"/>
        </w:trPr>
        <w:tc>
          <w:tcPr>
            <w:tcW w:w="768" w:type="dxa"/>
            <w:tcBorders>
              <w:top w:val="single" w:color="auto" w:sz="4" w:space="0"/>
              <w:left w:val="single" w:color="auto" w:sz="4" w:space="0"/>
              <w:bottom w:val="single" w:color="auto" w:sz="4" w:space="0"/>
              <w:right w:val="single" w:color="auto" w:sz="4" w:space="0"/>
            </w:tcBorders>
            <w:noWrap/>
            <w:vAlign w:val="center"/>
          </w:tcPr>
          <w:p w14:paraId="71A292B6">
            <w:pPr>
              <w:widowControl/>
              <w:spacing w:line="360" w:lineRule="exact"/>
              <w:jc w:val="center"/>
              <w:rPr>
                <w:rFonts w:hint="eastAsia" w:ascii="楷体_GB2312" w:hAnsi="宋体" w:eastAsia="楷体_GB2312" w:cs="宋体"/>
                <w:color w:val="000000"/>
                <w:kern w:val="0"/>
                <w:sz w:val="24"/>
                <w:szCs w:val="24"/>
              </w:rPr>
            </w:pPr>
            <w:r>
              <w:rPr>
                <w:rFonts w:hint="eastAsia" w:ascii="宋体" w:hAnsi="宋体" w:cs="宋体"/>
                <w:color w:val="000000"/>
                <w:kern w:val="0"/>
                <w:sz w:val="24"/>
                <w:szCs w:val="24"/>
              </w:rPr>
              <w:t>2</w:t>
            </w:r>
          </w:p>
        </w:tc>
        <w:tc>
          <w:tcPr>
            <w:tcW w:w="2693" w:type="dxa"/>
            <w:tcBorders>
              <w:top w:val="single" w:color="auto" w:sz="4" w:space="0"/>
              <w:left w:val="nil"/>
              <w:bottom w:val="single" w:color="auto" w:sz="4" w:space="0"/>
              <w:right w:val="single" w:color="auto" w:sz="4" w:space="0"/>
            </w:tcBorders>
            <w:noWrap/>
            <w:vAlign w:val="center"/>
          </w:tcPr>
          <w:p w14:paraId="4B71D253">
            <w:pPr>
              <w:widowControl/>
              <w:spacing w:line="360" w:lineRule="exact"/>
              <w:jc w:val="center"/>
              <w:rPr>
                <w:rFonts w:hint="eastAsia" w:ascii="楷体_GB2312" w:hAnsi="宋体" w:eastAsia="楷体_GB2312" w:cs="宋体"/>
                <w:color w:val="000000"/>
                <w:kern w:val="0"/>
                <w:sz w:val="24"/>
                <w:szCs w:val="24"/>
              </w:rPr>
            </w:pPr>
            <w:r>
              <w:rPr>
                <w:rFonts w:hint="eastAsia" w:ascii="宋体" w:hAnsi="宋体" w:cs="宋体"/>
                <w:color w:val="000000"/>
                <w:kern w:val="0"/>
                <w:sz w:val="24"/>
                <w:szCs w:val="24"/>
              </w:rPr>
              <w:t>化学工程与技术</w:t>
            </w:r>
          </w:p>
        </w:tc>
        <w:tc>
          <w:tcPr>
            <w:tcW w:w="1294" w:type="dxa"/>
            <w:tcBorders>
              <w:top w:val="single" w:color="auto" w:sz="4" w:space="0"/>
              <w:left w:val="nil"/>
              <w:bottom w:val="single" w:color="auto" w:sz="4" w:space="0"/>
              <w:right w:val="single" w:color="auto" w:sz="4" w:space="0"/>
            </w:tcBorders>
            <w:noWrap/>
            <w:vAlign w:val="center"/>
          </w:tcPr>
          <w:p w14:paraId="2A96A3CF">
            <w:pPr>
              <w:widowControl/>
              <w:spacing w:line="360" w:lineRule="exact"/>
              <w:jc w:val="center"/>
              <w:rPr>
                <w:rFonts w:hint="eastAsia" w:ascii="楷体_GB2312" w:hAnsi="宋体" w:eastAsia="楷体_GB2312" w:cs="宋体"/>
                <w:color w:val="000000"/>
                <w:kern w:val="0"/>
                <w:sz w:val="24"/>
                <w:szCs w:val="24"/>
              </w:rPr>
            </w:pPr>
            <w:r>
              <w:rPr>
                <w:rFonts w:hint="eastAsia" w:ascii="宋体" w:hAnsi="宋体" w:cs="宋体"/>
                <w:color w:val="000000"/>
                <w:kern w:val="0"/>
                <w:sz w:val="24"/>
                <w:szCs w:val="24"/>
              </w:rPr>
              <w:t>081700</w:t>
            </w:r>
          </w:p>
        </w:tc>
        <w:tc>
          <w:tcPr>
            <w:tcW w:w="1420" w:type="dxa"/>
            <w:tcBorders>
              <w:top w:val="single" w:color="auto" w:sz="4" w:space="0"/>
              <w:left w:val="nil"/>
              <w:bottom w:val="single" w:color="auto" w:sz="4" w:space="0"/>
              <w:right w:val="single" w:color="auto" w:sz="4" w:space="0"/>
            </w:tcBorders>
            <w:noWrap/>
            <w:vAlign w:val="center"/>
          </w:tcPr>
          <w:p w14:paraId="49D16A33">
            <w:pPr>
              <w:widowControl/>
              <w:spacing w:line="36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全日制</w:t>
            </w:r>
          </w:p>
        </w:tc>
        <w:tc>
          <w:tcPr>
            <w:tcW w:w="1420" w:type="dxa"/>
            <w:tcBorders>
              <w:top w:val="single" w:color="auto" w:sz="4" w:space="0"/>
              <w:left w:val="nil"/>
              <w:bottom w:val="single" w:color="auto" w:sz="4" w:space="0"/>
              <w:right w:val="single" w:color="auto" w:sz="4" w:space="0"/>
            </w:tcBorders>
            <w:noWrap/>
            <w:vAlign w:val="center"/>
          </w:tcPr>
          <w:p w14:paraId="272641D1">
            <w:pPr>
              <w:widowControl/>
              <w:spacing w:line="360" w:lineRule="exact"/>
              <w:jc w:val="center"/>
              <w:rPr>
                <w:rFonts w:hint="eastAsia" w:ascii="楷体_GB2312" w:hAnsi="宋体" w:eastAsia="楷体_GB2312" w:cs="宋体"/>
                <w:color w:val="000000"/>
                <w:kern w:val="0"/>
                <w:sz w:val="24"/>
                <w:szCs w:val="24"/>
              </w:rPr>
            </w:pPr>
            <w:r>
              <w:rPr>
                <w:rFonts w:hint="eastAsia" w:ascii="楷体_GB2312" w:hAnsi="宋体" w:eastAsia="楷体_GB2312" w:cs="宋体"/>
                <w:color w:val="000000"/>
                <w:kern w:val="0"/>
                <w:sz w:val="24"/>
                <w:szCs w:val="24"/>
              </w:rPr>
              <w:t>3</w:t>
            </w:r>
          </w:p>
        </w:tc>
      </w:tr>
      <w:tr w14:paraId="0A65A81E">
        <w:tblPrEx>
          <w:tblCellMar>
            <w:top w:w="0" w:type="dxa"/>
            <w:left w:w="108" w:type="dxa"/>
            <w:bottom w:w="0" w:type="dxa"/>
            <w:right w:w="108" w:type="dxa"/>
          </w:tblCellMar>
        </w:tblPrEx>
        <w:trPr>
          <w:trHeight w:val="270" w:hRule="atLeast"/>
          <w:jc w:val="center"/>
        </w:trPr>
        <w:tc>
          <w:tcPr>
            <w:tcW w:w="768" w:type="dxa"/>
            <w:tcBorders>
              <w:top w:val="single" w:color="auto" w:sz="4" w:space="0"/>
              <w:left w:val="single" w:color="auto" w:sz="4" w:space="0"/>
              <w:bottom w:val="single" w:color="auto" w:sz="4" w:space="0"/>
              <w:right w:val="single" w:color="auto" w:sz="4" w:space="0"/>
            </w:tcBorders>
            <w:noWrap/>
            <w:vAlign w:val="center"/>
          </w:tcPr>
          <w:p w14:paraId="563B4AF5">
            <w:pPr>
              <w:widowControl/>
              <w:spacing w:line="360" w:lineRule="exact"/>
              <w:jc w:val="center"/>
              <w:rPr>
                <w:rFonts w:hint="eastAsia" w:ascii="楷体_GB2312" w:hAnsi="宋体" w:eastAsia="楷体_GB2312" w:cs="宋体"/>
                <w:color w:val="000000"/>
                <w:kern w:val="0"/>
                <w:sz w:val="24"/>
                <w:szCs w:val="24"/>
              </w:rPr>
            </w:pPr>
            <w:r>
              <w:rPr>
                <w:rFonts w:hint="eastAsia" w:ascii="宋体" w:hAnsi="宋体" w:cs="宋体"/>
                <w:color w:val="000000"/>
                <w:kern w:val="0"/>
                <w:sz w:val="24"/>
                <w:szCs w:val="24"/>
              </w:rPr>
              <w:t>3</w:t>
            </w:r>
          </w:p>
        </w:tc>
        <w:tc>
          <w:tcPr>
            <w:tcW w:w="2693" w:type="dxa"/>
            <w:tcBorders>
              <w:top w:val="single" w:color="auto" w:sz="4" w:space="0"/>
              <w:left w:val="nil"/>
              <w:bottom w:val="single" w:color="auto" w:sz="4" w:space="0"/>
              <w:right w:val="single" w:color="auto" w:sz="4" w:space="0"/>
            </w:tcBorders>
            <w:noWrap/>
            <w:vAlign w:val="center"/>
          </w:tcPr>
          <w:p w14:paraId="1FB2E006">
            <w:pPr>
              <w:widowControl/>
              <w:spacing w:line="360" w:lineRule="exact"/>
              <w:jc w:val="center"/>
              <w:rPr>
                <w:rFonts w:hint="eastAsia" w:ascii="楷体_GB2312" w:hAnsi="宋体" w:eastAsia="楷体_GB2312" w:cs="宋体"/>
                <w:color w:val="000000"/>
                <w:kern w:val="0"/>
                <w:sz w:val="24"/>
                <w:szCs w:val="24"/>
              </w:rPr>
            </w:pPr>
            <w:r>
              <w:rPr>
                <w:rFonts w:hint="eastAsia" w:ascii="宋体" w:hAnsi="宋体" w:cs="宋体"/>
                <w:color w:val="000000"/>
                <w:kern w:val="0"/>
                <w:sz w:val="24"/>
                <w:szCs w:val="24"/>
              </w:rPr>
              <w:t>化学工程</w:t>
            </w:r>
          </w:p>
        </w:tc>
        <w:tc>
          <w:tcPr>
            <w:tcW w:w="1294" w:type="dxa"/>
            <w:tcBorders>
              <w:top w:val="single" w:color="auto" w:sz="4" w:space="0"/>
              <w:left w:val="nil"/>
              <w:bottom w:val="single" w:color="auto" w:sz="4" w:space="0"/>
              <w:right w:val="single" w:color="auto" w:sz="4" w:space="0"/>
            </w:tcBorders>
            <w:noWrap/>
            <w:vAlign w:val="center"/>
          </w:tcPr>
          <w:p w14:paraId="18417A7D">
            <w:pPr>
              <w:widowControl/>
              <w:spacing w:line="360" w:lineRule="exact"/>
              <w:jc w:val="center"/>
              <w:rPr>
                <w:rFonts w:hint="eastAsia" w:ascii="楷体_GB2312" w:hAnsi="宋体" w:eastAsia="楷体_GB2312" w:cs="宋体"/>
                <w:color w:val="000000"/>
                <w:kern w:val="0"/>
                <w:sz w:val="24"/>
                <w:szCs w:val="24"/>
              </w:rPr>
            </w:pPr>
            <w:r>
              <w:rPr>
                <w:rFonts w:hint="eastAsia" w:ascii="宋体" w:hAnsi="宋体" w:cs="宋体"/>
                <w:color w:val="000000"/>
                <w:kern w:val="0"/>
                <w:sz w:val="24"/>
                <w:szCs w:val="24"/>
              </w:rPr>
              <w:t>085602</w:t>
            </w:r>
          </w:p>
        </w:tc>
        <w:tc>
          <w:tcPr>
            <w:tcW w:w="1420" w:type="dxa"/>
            <w:tcBorders>
              <w:top w:val="single" w:color="auto" w:sz="4" w:space="0"/>
              <w:left w:val="nil"/>
              <w:bottom w:val="single" w:color="auto" w:sz="4" w:space="0"/>
              <w:right w:val="single" w:color="auto" w:sz="4" w:space="0"/>
            </w:tcBorders>
            <w:noWrap/>
            <w:vAlign w:val="center"/>
          </w:tcPr>
          <w:p w14:paraId="54ED3223">
            <w:pPr>
              <w:widowControl/>
              <w:spacing w:line="36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全日制</w:t>
            </w:r>
          </w:p>
        </w:tc>
        <w:tc>
          <w:tcPr>
            <w:tcW w:w="1420" w:type="dxa"/>
            <w:tcBorders>
              <w:top w:val="single" w:color="auto" w:sz="4" w:space="0"/>
              <w:left w:val="nil"/>
              <w:bottom w:val="single" w:color="auto" w:sz="4" w:space="0"/>
              <w:right w:val="single" w:color="auto" w:sz="4" w:space="0"/>
            </w:tcBorders>
            <w:noWrap/>
            <w:vAlign w:val="center"/>
          </w:tcPr>
          <w:p w14:paraId="03CC834B">
            <w:pPr>
              <w:widowControl/>
              <w:spacing w:line="360" w:lineRule="exact"/>
              <w:jc w:val="center"/>
              <w:rPr>
                <w:rFonts w:eastAsia="楷体_GB2312" w:cs="Calibri"/>
                <w:color w:val="000000"/>
                <w:kern w:val="0"/>
                <w:sz w:val="24"/>
                <w:szCs w:val="24"/>
              </w:rPr>
            </w:pPr>
            <w:r>
              <w:rPr>
                <w:rFonts w:hint="eastAsia" w:eastAsia="楷体_GB2312" w:cs="Calibri"/>
                <w:color w:val="000000"/>
                <w:kern w:val="0"/>
                <w:sz w:val="24"/>
                <w:szCs w:val="24"/>
              </w:rPr>
              <w:t>20</w:t>
            </w:r>
          </w:p>
        </w:tc>
      </w:tr>
    </w:tbl>
    <w:p w14:paraId="1A1CA1E0">
      <w:pPr>
        <w:spacing w:before="156" w:beforeLines="50" w:after="156" w:afterLines="50" w:line="360" w:lineRule="exact"/>
        <w:ind w:firstLine="560" w:firstLineChars="200"/>
        <w:rPr>
          <w:rFonts w:hint="eastAsia" w:ascii="楷体_GB2312" w:hAnsi="黑体" w:eastAsia="楷体_GB2312"/>
          <w:sz w:val="28"/>
          <w:szCs w:val="28"/>
        </w:rPr>
      </w:pPr>
      <w:r>
        <w:rPr>
          <w:rFonts w:hint="eastAsia" w:ascii="楷体_GB2312" w:hAnsi="黑体" w:eastAsia="楷体_GB2312"/>
          <w:sz w:val="28"/>
          <w:szCs w:val="28"/>
        </w:rPr>
        <w:t>注：硕士研究生实际招生人数可根据实际情况做适当调整</w:t>
      </w:r>
    </w:p>
    <w:p w14:paraId="59FAD10C">
      <w:pPr>
        <w:spacing w:before="156" w:beforeLines="50" w:after="156" w:afterLines="50" w:line="360" w:lineRule="exact"/>
        <w:rPr>
          <w:rFonts w:hint="eastAsia" w:ascii="黑体" w:hAnsi="黑体" w:eastAsia="黑体"/>
          <w:sz w:val="32"/>
          <w:szCs w:val="32"/>
        </w:rPr>
      </w:pPr>
      <w:r>
        <w:rPr>
          <w:rFonts w:hint="eastAsia" w:ascii="黑体" w:hAnsi="黑体" w:eastAsia="黑体"/>
          <w:sz w:val="30"/>
          <w:szCs w:val="30"/>
        </w:rPr>
        <w:t>三、</w:t>
      </w:r>
      <w:r>
        <w:rPr>
          <w:rFonts w:hint="eastAsia" w:ascii="黑体" w:hAnsi="黑体" w:eastAsia="黑体"/>
          <w:sz w:val="32"/>
          <w:szCs w:val="32"/>
        </w:rPr>
        <w:t>申请、复试、录取工作安排</w:t>
      </w:r>
    </w:p>
    <w:p w14:paraId="143C0CEC">
      <w:pPr>
        <w:pStyle w:val="9"/>
        <w:widowControl/>
        <w:shd w:val="clear" w:color="auto" w:fill="FFFFFF"/>
        <w:spacing w:line="560" w:lineRule="exact"/>
        <w:ind w:left="0" w:firstLine="480" w:firstLineChars="200"/>
        <w:rPr>
          <w:rFonts w:ascii="Times New Roman" w:hAnsi="Times New Roman" w:eastAsia="仿宋_GB2312"/>
          <w:color w:val="000000"/>
          <w:sz w:val="24"/>
          <w:szCs w:val="24"/>
        </w:rPr>
      </w:pPr>
      <w:r>
        <w:rPr>
          <w:rFonts w:hint="eastAsia" w:ascii="宋体" w:hAnsi="宋体"/>
          <w:sz w:val="24"/>
          <w:szCs w:val="24"/>
        </w:rPr>
        <w:t>所有推免生通过教育部推免服务系统填报专业志愿（含硕士生、直博生）并提交相关材料，化学化工学院通过教育部推免服务系统发出复试通知。学院成立专门的复试工作领导小组，组织复试。学院通知推免生在预定时间接受复试小组电话复试，复试小组主要考核学生的综合素质和能力，</w:t>
      </w:r>
      <w:r>
        <w:rPr>
          <w:rFonts w:ascii="Times New Roman" w:hAnsi="Times New Roman" w:eastAsia="仿宋_GB2312"/>
          <w:color w:val="000000"/>
          <w:sz w:val="24"/>
          <w:szCs w:val="24"/>
        </w:rPr>
        <w:t>并根据复试成绩，结合申请材料和综合素质考核结果，对考生进行综合评价，择优录取。</w:t>
      </w:r>
    </w:p>
    <w:p w14:paraId="5243AEFF">
      <w:pPr>
        <w:pStyle w:val="9"/>
        <w:widowControl/>
        <w:shd w:val="clear" w:color="auto" w:fill="FFFFFF"/>
        <w:spacing w:line="560" w:lineRule="exact"/>
        <w:ind w:left="0" w:firstLine="562" w:firstLineChars="200"/>
        <w:rPr>
          <w:rFonts w:hint="eastAsia" w:ascii="仿宋_GB2312" w:hAnsi="宋体" w:eastAsia="仿宋_GB2312"/>
          <w:b/>
          <w:bCs/>
          <w:sz w:val="28"/>
          <w:szCs w:val="28"/>
        </w:rPr>
      </w:pPr>
      <w:r>
        <w:rPr>
          <w:rFonts w:hint="eastAsia" w:ascii="Times New Roman" w:hAnsi="Times New Roman" w:eastAsia="仿宋_GB2312"/>
          <w:b/>
          <w:bCs/>
          <w:color w:val="000000"/>
          <w:sz w:val="28"/>
          <w:szCs w:val="28"/>
        </w:rPr>
        <w:t>具体环节：</w:t>
      </w:r>
    </w:p>
    <w:p w14:paraId="293A4E4C">
      <w:pPr>
        <w:pStyle w:val="3"/>
        <w:keepLines w:val="0"/>
        <w:widowControl/>
        <w:spacing w:before="0" w:after="0" w:line="560" w:lineRule="exact"/>
        <w:ind w:firstLine="640"/>
        <w:rPr>
          <w:rFonts w:hint="eastAsia" w:ascii="仿宋_GB2312" w:hAnsi="黑体" w:eastAsia="仿宋_GB2312"/>
          <w:color w:val="auto"/>
          <w:sz w:val="24"/>
          <w:szCs w:val="24"/>
        </w:rPr>
      </w:pPr>
      <w:r>
        <w:rPr>
          <w:rFonts w:hint="eastAsia" w:ascii="宋体" w:hAnsi="宋体"/>
          <w:sz w:val="24"/>
          <w:szCs w:val="24"/>
        </w:rPr>
        <w:t>（一）</w:t>
      </w:r>
      <w:r>
        <w:rPr>
          <w:rFonts w:ascii="Times New Roman" w:hAnsi="Times New Roman" w:eastAsia="楷体_GB2312"/>
          <w:color w:val="000000"/>
          <w:sz w:val="24"/>
          <w:szCs w:val="24"/>
        </w:rPr>
        <w:t>正式报名与复试</w:t>
      </w:r>
    </w:p>
    <w:p w14:paraId="3CDA7F12">
      <w:pPr>
        <w:pStyle w:val="9"/>
        <w:widowControl/>
        <w:shd w:val="clear" w:color="auto" w:fill="FFFFFF"/>
        <w:spacing w:line="560" w:lineRule="exact"/>
        <w:ind w:left="0" w:firstLine="480" w:firstLineChars="200"/>
        <w:rPr>
          <w:rFonts w:hint="eastAsia" w:ascii="仿宋_GB2312" w:hAnsi="宋体" w:eastAsia="仿宋_GB2312"/>
          <w:color w:val="000000" w:themeColor="text1"/>
          <w:sz w:val="24"/>
          <w:szCs w:val="24"/>
          <w14:textFill>
            <w14:solidFill>
              <w14:schemeClr w14:val="tx1"/>
            </w14:solidFill>
          </w14:textFill>
        </w:rPr>
      </w:pPr>
      <w:r>
        <w:rPr>
          <w:rFonts w:ascii="Times New Roman" w:hAnsi="Times New Roman" w:eastAsia="仿宋_GB2312"/>
          <w:color w:val="000000"/>
          <w:sz w:val="24"/>
          <w:szCs w:val="24"/>
        </w:rPr>
        <w:t>1.</w:t>
      </w:r>
      <w:r>
        <w:rPr>
          <w:rFonts w:hint="eastAsia" w:ascii="Times New Roman" w:hAnsi="Times New Roman" w:eastAsia="仿宋_GB2312"/>
          <w:color w:val="000000"/>
          <w:sz w:val="24"/>
          <w:szCs w:val="24"/>
        </w:rPr>
        <w:t>9</w:t>
      </w:r>
      <w:r>
        <w:rPr>
          <w:rFonts w:ascii="Times New Roman" w:hAnsi="Times New Roman" w:eastAsia="仿宋_GB2312"/>
          <w:color w:val="000000"/>
          <w:sz w:val="24"/>
          <w:szCs w:val="24"/>
        </w:rPr>
        <w:t>月</w:t>
      </w:r>
      <w:r>
        <w:rPr>
          <w:rFonts w:hint="eastAsia" w:ascii="Times New Roman" w:hAnsi="Times New Roman" w:eastAsia="仿宋_GB2312"/>
          <w:color w:val="000000"/>
          <w:sz w:val="24"/>
          <w:szCs w:val="24"/>
        </w:rPr>
        <w:t>21</w:t>
      </w:r>
      <w:r>
        <w:rPr>
          <w:rFonts w:ascii="Times New Roman" w:hAnsi="Times New Roman" w:eastAsia="仿宋_GB2312"/>
          <w:color w:val="000000"/>
          <w:sz w:val="24"/>
          <w:szCs w:val="24"/>
        </w:rPr>
        <w:t>日9:00，推免生开始报名。考生登录中国研究生招生信息网“全国推荐免试攻读研究生（免初试、转段）信息公开暨管理服务系统”（以下简称“推免服务系统”，网址：https://yz.chsi.com.cn/tm）填报志愿。</w:t>
      </w:r>
      <w:r>
        <w:rPr>
          <w:rFonts w:ascii="Times New Roman" w:hAnsi="Times New Roman" w:eastAsia="仿宋_GB2312"/>
          <w:color w:val="000000" w:themeColor="text1"/>
          <w:sz w:val="24"/>
          <w:szCs w:val="24"/>
          <w14:textFill>
            <w14:solidFill>
              <w14:schemeClr w14:val="tx1"/>
            </w14:solidFill>
          </w14:textFill>
        </w:rPr>
        <w:t>报名截止时间为</w:t>
      </w:r>
      <w:r>
        <w:rPr>
          <w:rFonts w:hint="eastAsia" w:ascii="Times New Roman" w:hAnsi="Times New Roman" w:eastAsia="仿宋_GB2312"/>
          <w:color w:val="000000" w:themeColor="text1"/>
          <w:sz w:val="24"/>
          <w:szCs w:val="24"/>
          <w14:textFill>
            <w14:solidFill>
              <w14:schemeClr w14:val="tx1"/>
            </w14:solidFill>
          </w14:textFill>
        </w:rPr>
        <w:t>9</w:t>
      </w:r>
      <w:r>
        <w:rPr>
          <w:rFonts w:ascii="Times New Roman" w:hAnsi="Times New Roman" w:eastAsia="仿宋_GB2312"/>
          <w:color w:val="000000" w:themeColor="text1"/>
          <w:sz w:val="24"/>
          <w:szCs w:val="24"/>
          <w14:textFill>
            <w14:solidFill>
              <w14:schemeClr w14:val="tx1"/>
            </w14:solidFill>
          </w14:textFill>
        </w:rPr>
        <w:t>月</w:t>
      </w:r>
      <w:r>
        <w:rPr>
          <w:rFonts w:hint="eastAsia" w:ascii="Times New Roman" w:hAnsi="Times New Roman" w:eastAsia="仿宋_GB2312"/>
          <w:color w:val="000000" w:themeColor="text1"/>
          <w:sz w:val="24"/>
          <w:szCs w:val="24"/>
          <w14:textFill>
            <w14:solidFill>
              <w14:schemeClr w14:val="tx1"/>
            </w14:solidFill>
          </w14:textFill>
        </w:rPr>
        <w:t>2</w:t>
      </w:r>
      <w:r>
        <w:rPr>
          <w:rFonts w:ascii="Times New Roman" w:hAnsi="Times New Roman" w:eastAsia="仿宋_GB2312"/>
          <w:color w:val="000000" w:themeColor="text1"/>
          <w:sz w:val="24"/>
          <w:szCs w:val="24"/>
          <w14:textFill>
            <w14:solidFill>
              <w14:schemeClr w14:val="tx1"/>
            </w14:solidFill>
          </w14:textFill>
        </w:rPr>
        <w:t>2日9:00。</w:t>
      </w:r>
    </w:p>
    <w:p w14:paraId="254997A1">
      <w:pPr>
        <w:pStyle w:val="9"/>
        <w:widowControl/>
        <w:shd w:val="clear" w:color="auto" w:fill="FFFFFF"/>
        <w:spacing w:line="560" w:lineRule="exact"/>
        <w:ind w:left="0" w:firstLine="480" w:firstLineChars="200"/>
        <w:rPr>
          <w:rFonts w:hint="eastAsia" w:ascii="仿宋_GB2312" w:hAnsi="宋体" w:eastAsia="仿宋_GB2312"/>
          <w:color w:val="000000" w:themeColor="text1"/>
          <w:sz w:val="24"/>
          <w:szCs w:val="24"/>
          <w14:textFill>
            <w14:solidFill>
              <w14:schemeClr w14:val="tx1"/>
            </w14:solidFill>
          </w14:textFill>
        </w:rPr>
      </w:pPr>
      <w:r>
        <w:rPr>
          <w:rFonts w:ascii="Times New Roman" w:hAnsi="Times New Roman" w:eastAsia="仿宋_GB2312"/>
          <w:color w:val="000000" w:themeColor="text1"/>
          <w:sz w:val="24"/>
          <w:szCs w:val="24"/>
          <w14:textFill>
            <w14:solidFill>
              <w14:schemeClr w14:val="tx1"/>
            </w14:solidFill>
          </w14:textFill>
        </w:rPr>
        <w:t>2.</w:t>
      </w:r>
      <w:r>
        <w:rPr>
          <w:rFonts w:hint="eastAsia" w:ascii="Times New Roman" w:hAnsi="Times New Roman" w:eastAsia="仿宋_GB2312"/>
          <w:color w:val="000000" w:themeColor="text1"/>
          <w:sz w:val="24"/>
          <w:szCs w:val="24"/>
          <w14:textFill>
            <w14:solidFill>
              <w14:schemeClr w14:val="tx1"/>
            </w14:solidFill>
          </w14:textFill>
        </w:rPr>
        <w:t>在推免服务系统该环节开启后，</w:t>
      </w:r>
      <w:r>
        <w:rPr>
          <w:rFonts w:ascii="Times New Roman" w:hAnsi="Times New Roman" w:eastAsia="仿宋_GB2312"/>
          <w:color w:val="000000" w:themeColor="text1"/>
          <w:sz w:val="24"/>
          <w:szCs w:val="24"/>
          <w14:textFill>
            <w14:solidFill>
              <w14:schemeClr w14:val="tx1"/>
            </w14:solidFill>
          </w14:textFill>
        </w:rPr>
        <w:t>学院开始审核考生申请材料，并向符合条件的考生发放复试通知。</w:t>
      </w:r>
    </w:p>
    <w:p w14:paraId="134AB6E9">
      <w:pPr>
        <w:pStyle w:val="9"/>
        <w:widowControl/>
        <w:shd w:val="clear" w:color="auto" w:fill="FFFFFF"/>
        <w:spacing w:line="560" w:lineRule="exact"/>
        <w:ind w:left="0" w:firstLine="480" w:firstLineChars="200"/>
        <w:rPr>
          <w:rFonts w:hint="eastAsia" w:ascii="仿宋_GB2312" w:hAnsi="宋体" w:eastAsia="仿宋_GB2312"/>
          <w:color w:val="000000" w:themeColor="text1"/>
          <w:sz w:val="24"/>
          <w:szCs w:val="24"/>
          <w14:textFill>
            <w14:solidFill>
              <w14:schemeClr w14:val="tx1"/>
            </w14:solidFill>
          </w14:textFill>
        </w:rPr>
      </w:pPr>
      <w:r>
        <w:rPr>
          <w:rFonts w:ascii="Times New Roman" w:hAnsi="Times New Roman" w:eastAsia="仿宋_GB2312"/>
          <w:color w:val="000000" w:themeColor="text1"/>
          <w:sz w:val="24"/>
          <w:szCs w:val="24"/>
          <w14:textFill>
            <w14:solidFill>
              <w14:schemeClr w14:val="tx1"/>
            </w14:solidFill>
          </w14:textFill>
        </w:rPr>
        <w:t>3.9月</w:t>
      </w:r>
      <w:r>
        <w:rPr>
          <w:rFonts w:hint="eastAsia" w:ascii="Times New Roman" w:hAnsi="Times New Roman" w:eastAsia="仿宋_GB2312"/>
          <w:color w:val="000000" w:themeColor="text1"/>
          <w:sz w:val="24"/>
          <w:szCs w:val="24"/>
          <w14:textFill>
            <w14:solidFill>
              <w14:schemeClr w14:val="tx1"/>
            </w14:solidFill>
          </w14:textFill>
        </w:rPr>
        <w:t>2</w:t>
      </w:r>
      <w:r>
        <w:rPr>
          <w:rFonts w:ascii="Times New Roman" w:hAnsi="Times New Roman" w:eastAsia="仿宋_GB2312"/>
          <w:color w:val="000000" w:themeColor="text1"/>
          <w:sz w:val="24"/>
          <w:szCs w:val="24"/>
          <w14:textFill>
            <w14:solidFill>
              <w14:schemeClr w14:val="tx1"/>
            </w14:solidFill>
          </w14:textFill>
        </w:rPr>
        <w:t>3日</w:t>
      </w:r>
      <w:r>
        <w:rPr>
          <w:rFonts w:hint="eastAsia" w:ascii="Times New Roman" w:hAnsi="Times New Roman" w:eastAsia="仿宋_GB2312"/>
          <w:color w:val="000000" w:themeColor="text1"/>
          <w:sz w:val="24"/>
          <w:szCs w:val="24"/>
          <w14:textFill>
            <w14:solidFill>
              <w14:schemeClr w14:val="tx1"/>
            </w14:solidFill>
          </w14:textFill>
        </w:rPr>
        <w:t>-</w:t>
      </w:r>
      <w:r>
        <w:rPr>
          <w:rFonts w:ascii="Times New Roman" w:hAnsi="Times New Roman" w:eastAsia="仿宋_GB2312"/>
          <w:color w:val="000000" w:themeColor="text1"/>
          <w:sz w:val="24"/>
          <w:szCs w:val="24"/>
          <w14:textFill>
            <w14:solidFill>
              <w14:schemeClr w14:val="tx1"/>
            </w14:solidFill>
          </w14:textFill>
        </w:rPr>
        <w:t>24</w:t>
      </w:r>
      <w:r>
        <w:rPr>
          <w:rFonts w:hint="eastAsia" w:ascii="Times New Roman" w:hAnsi="Times New Roman" w:eastAsia="仿宋_GB2312"/>
          <w:color w:val="000000" w:themeColor="text1"/>
          <w:sz w:val="24"/>
          <w:szCs w:val="24"/>
          <w14:textFill>
            <w14:solidFill>
              <w14:schemeClr w14:val="tx1"/>
            </w14:solidFill>
          </w14:textFill>
        </w:rPr>
        <w:t>日</w:t>
      </w:r>
      <w:r>
        <w:rPr>
          <w:rFonts w:ascii="Times New Roman" w:hAnsi="Times New Roman" w:eastAsia="仿宋_GB2312"/>
          <w:color w:val="000000" w:themeColor="text1"/>
          <w:sz w:val="24"/>
          <w:szCs w:val="24"/>
          <w14:textFill>
            <w14:solidFill>
              <w14:schemeClr w14:val="tx1"/>
            </w14:solidFill>
          </w14:textFill>
        </w:rPr>
        <w:t>学院分批组织复试，开展综合能力考核。考核包括考生自述、专家提问等环节，重点考查考生的心理素质、知识结构、综合能力和科学素养等。复试小组由学院相关专业具有高级职称或硕士研究生导师资格的教师组成，成员不少于3人。具体复试时间、地点以复试通知为准，请考生保持通信畅通。</w:t>
      </w:r>
    </w:p>
    <w:p w14:paraId="3457BDB2">
      <w:pPr>
        <w:pStyle w:val="3"/>
        <w:keepLines w:val="0"/>
        <w:widowControl/>
        <w:spacing w:before="0" w:after="0" w:line="560" w:lineRule="exact"/>
        <w:ind w:firstLine="640"/>
        <w:rPr>
          <w:rFonts w:hint="eastAsia" w:ascii="仿宋_GB2312" w:hAnsi="黑体" w:eastAsia="仿宋_GB2312"/>
          <w:color w:val="000000" w:themeColor="text1"/>
          <w:sz w:val="24"/>
          <w:szCs w:val="24"/>
          <w14:textFill>
            <w14:solidFill>
              <w14:schemeClr w14:val="tx1"/>
            </w14:solidFill>
          </w14:textFill>
        </w:rPr>
      </w:pPr>
      <w:r>
        <w:rPr>
          <w:rFonts w:hint="eastAsia" w:ascii="Times New Roman" w:hAnsi="Times New Roman" w:eastAsia="楷体_GB2312"/>
          <w:color w:val="000000" w:themeColor="text1"/>
          <w:sz w:val="24"/>
          <w:szCs w:val="24"/>
          <w14:textFill>
            <w14:solidFill>
              <w14:schemeClr w14:val="tx1"/>
            </w14:solidFill>
          </w14:textFill>
        </w:rPr>
        <w:t>（二）录取</w:t>
      </w:r>
    </w:p>
    <w:p w14:paraId="25152038">
      <w:pPr>
        <w:pStyle w:val="9"/>
        <w:widowControl/>
        <w:shd w:val="clear" w:color="auto" w:fill="FFFFFF"/>
        <w:spacing w:line="560" w:lineRule="exact"/>
        <w:ind w:left="0" w:firstLine="480" w:firstLineChars="200"/>
        <w:rPr>
          <w:rFonts w:hint="eastAsia" w:ascii="仿宋_GB2312" w:hAnsi="宋体" w:eastAsia="仿宋_GB2312"/>
          <w:color w:val="000000" w:themeColor="text1"/>
          <w:sz w:val="24"/>
          <w:szCs w:val="24"/>
          <w14:textFill>
            <w14:solidFill>
              <w14:schemeClr w14:val="tx1"/>
            </w14:solidFill>
          </w14:textFill>
        </w:rPr>
      </w:pPr>
      <w:r>
        <w:rPr>
          <w:rFonts w:ascii="Times New Roman" w:hAnsi="Times New Roman" w:eastAsia="仿宋_GB2312"/>
          <w:color w:val="000000" w:themeColor="text1"/>
          <w:sz w:val="24"/>
          <w:szCs w:val="24"/>
          <w14:textFill>
            <w14:solidFill>
              <w14:schemeClr w14:val="tx1"/>
            </w14:solidFill>
          </w14:textFill>
        </w:rPr>
        <w:t>1.</w:t>
      </w:r>
      <w:r>
        <w:rPr>
          <w:rFonts w:hint="eastAsia" w:ascii="Times New Roman" w:hAnsi="Times New Roman" w:eastAsia="仿宋_GB2312"/>
          <w:color w:val="000000" w:themeColor="text1"/>
          <w:sz w:val="24"/>
          <w:szCs w:val="24"/>
          <w14:textFill>
            <w14:solidFill>
              <w14:schemeClr w14:val="tx1"/>
            </w14:solidFill>
          </w14:textFill>
        </w:rPr>
        <w:t>在推免服务系统该环节开启后，</w:t>
      </w:r>
      <w:r>
        <w:rPr>
          <w:rFonts w:ascii="Times New Roman" w:hAnsi="Times New Roman" w:eastAsia="仿宋_GB2312"/>
          <w:color w:val="000000" w:themeColor="text1"/>
          <w:sz w:val="24"/>
          <w:szCs w:val="24"/>
          <w14:textFill>
            <w14:solidFill>
              <w14:schemeClr w14:val="tx1"/>
            </w14:solidFill>
          </w14:textFill>
        </w:rPr>
        <w:t>学院根据考核成绩，向参加复试且考核合格的考生发放待录取通知。</w:t>
      </w:r>
    </w:p>
    <w:p w14:paraId="3681D3EB">
      <w:pPr>
        <w:pStyle w:val="9"/>
        <w:widowControl/>
        <w:shd w:val="clear" w:color="auto" w:fill="FFFFFF"/>
        <w:spacing w:line="560" w:lineRule="exact"/>
        <w:ind w:left="0" w:firstLine="480" w:firstLineChars="200"/>
        <w:rPr>
          <w:rFonts w:hint="eastAsia" w:ascii="仿宋_GB2312" w:hAnsi="宋体" w:eastAsia="仿宋_GB2312"/>
          <w:color w:val="000000" w:themeColor="text1"/>
          <w:sz w:val="24"/>
          <w:szCs w:val="24"/>
          <w14:textFill>
            <w14:solidFill>
              <w14:schemeClr w14:val="tx1"/>
            </w14:solidFill>
          </w14:textFill>
        </w:rPr>
      </w:pPr>
      <w:r>
        <w:rPr>
          <w:rFonts w:ascii="Times New Roman" w:hAnsi="Times New Roman" w:eastAsia="仿宋_GB2312"/>
          <w:color w:val="000000" w:themeColor="text1"/>
          <w:sz w:val="24"/>
          <w:szCs w:val="24"/>
          <w14:textFill>
            <w14:solidFill>
              <w14:schemeClr w14:val="tx1"/>
            </w14:solidFill>
          </w14:textFill>
        </w:rPr>
        <w:t>2.</w:t>
      </w:r>
      <w:r>
        <w:rPr>
          <w:rFonts w:hint="eastAsia" w:ascii="Times New Roman" w:hAnsi="Times New Roman" w:eastAsia="仿宋_GB2312"/>
          <w:color w:val="000000" w:themeColor="text1"/>
          <w:sz w:val="24"/>
          <w:szCs w:val="24"/>
          <w14:textFill>
            <w14:solidFill>
              <w14:schemeClr w14:val="tx1"/>
            </w14:solidFill>
          </w14:textFill>
        </w:rPr>
        <w:t xml:space="preserve"> 在推免服务系统该环节开启后，</w:t>
      </w:r>
      <w:r>
        <w:rPr>
          <w:rFonts w:ascii="Times New Roman" w:hAnsi="Times New Roman" w:eastAsia="仿宋_GB2312"/>
          <w:color w:val="000000" w:themeColor="text1"/>
          <w:sz w:val="24"/>
          <w:szCs w:val="24"/>
          <w14:textFill>
            <w14:solidFill>
              <w14:schemeClr w14:val="tx1"/>
            </w14:solidFill>
          </w14:textFill>
        </w:rPr>
        <w:t>考生开始确认待录取通知。学院按照考生确认待录取通知的时间顺序确定接收名单，额满为止。逾期未确认的，不再保留拟录取名额。</w:t>
      </w:r>
    </w:p>
    <w:p w14:paraId="2DABB477">
      <w:pPr>
        <w:pStyle w:val="9"/>
        <w:widowControl/>
        <w:shd w:val="clear" w:color="auto" w:fill="FFFFFF"/>
        <w:spacing w:line="560" w:lineRule="exact"/>
        <w:ind w:left="0" w:firstLine="480" w:firstLineChars="200"/>
        <w:rPr>
          <w:rFonts w:hint="eastAsia" w:ascii="仿宋_GB2312" w:hAnsi="宋体" w:eastAsia="仿宋_GB2312"/>
          <w:color w:val="000000" w:themeColor="text1"/>
          <w:sz w:val="24"/>
          <w:szCs w:val="24"/>
          <w14:textFill>
            <w14:solidFill>
              <w14:schemeClr w14:val="tx1"/>
            </w14:solidFill>
          </w14:textFill>
        </w:rPr>
      </w:pPr>
      <w:r>
        <w:rPr>
          <w:rFonts w:ascii="Times New Roman" w:hAnsi="Times New Roman" w:eastAsia="仿宋_GB2312"/>
          <w:color w:val="000000" w:themeColor="text1"/>
          <w:sz w:val="24"/>
          <w:szCs w:val="24"/>
          <w14:textFill>
            <w14:solidFill>
              <w14:schemeClr w14:val="tx1"/>
            </w14:solidFill>
          </w14:textFill>
        </w:rPr>
        <w:t>3.学院通过推免服务系统发放复试通知或待录取通知后，考生须在规定时间内登录系统确认。逾期未确认的，经学院电话联系确认后，学院可按规定撤回相应通知。考生接受待录取通知后，原则上不得更改。</w:t>
      </w:r>
    </w:p>
    <w:p w14:paraId="2F3707C2">
      <w:pPr>
        <w:pStyle w:val="9"/>
        <w:widowControl/>
        <w:shd w:val="clear" w:color="auto" w:fill="FFFFFF"/>
        <w:spacing w:line="560" w:lineRule="exact"/>
        <w:ind w:left="0" w:firstLine="480" w:firstLineChars="200"/>
        <w:rPr>
          <w:rFonts w:hint="eastAsia" w:ascii="仿宋_GB2312" w:hAnsi="宋体" w:eastAsia="仿宋_GB2312"/>
          <w:color w:val="000000" w:themeColor="text1"/>
          <w:sz w:val="24"/>
          <w:szCs w:val="24"/>
          <w14:textFill>
            <w14:solidFill>
              <w14:schemeClr w14:val="tx1"/>
            </w14:solidFill>
          </w14:textFill>
        </w:rPr>
      </w:pPr>
      <w:r>
        <w:rPr>
          <w:rFonts w:ascii="Times New Roman" w:hAnsi="Times New Roman" w:eastAsia="仿宋_GB2312"/>
          <w:color w:val="000000" w:themeColor="text1"/>
          <w:sz w:val="24"/>
          <w:szCs w:val="24"/>
          <w14:textFill>
            <w14:solidFill>
              <w14:schemeClr w14:val="tx1"/>
            </w14:solidFill>
          </w14:textFill>
        </w:rPr>
        <w:t>4.待录取工作结束后，如招生计划仍</w:t>
      </w:r>
      <w:bookmarkStart w:id="1" w:name="_GoBack"/>
      <w:bookmarkEnd w:id="1"/>
      <w:r>
        <w:rPr>
          <w:rFonts w:ascii="Times New Roman" w:hAnsi="Times New Roman" w:eastAsia="仿宋_GB2312"/>
          <w:color w:val="000000" w:themeColor="text1"/>
          <w:sz w:val="24"/>
          <w:szCs w:val="24"/>
          <w14:textFill>
            <w14:solidFill>
              <w14:schemeClr w14:val="tx1"/>
            </w14:solidFill>
          </w14:textFill>
        </w:rPr>
        <w:t>有余额，学院将根据推免服务系统中的报名情况，从已参加复试且考核合格的考生中依次补录。</w:t>
      </w:r>
    </w:p>
    <w:p w14:paraId="01A8B41F">
      <w:pPr>
        <w:spacing w:before="156" w:beforeLines="50" w:after="156" w:afterLines="50" w:line="360" w:lineRule="exact"/>
        <w:rPr>
          <w:rFonts w:hint="eastAsia" w:ascii="黑体" w:hAnsi="黑体" w:eastAsia="黑体"/>
          <w:color w:val="000000" w:themeColor="text1"/>
          <w:sz w:val="30"/>
          <w:szCs w:val="30"/>
          <w14:textFill>
            <w14:solidFill>
              <w14:schemeClr w14:val="tx1"/>
            </w14:solidFill>
          </w14:textFill>
        </w:rPr>
      </w:pPr>
      <w:r>
        <w:rPr>
          <w:rFonts w:hint="eastAsia" w:ascii="黑体" w:hAnsi="黑体" w:eastAsia="黑体"/>
          <w:color w:val="000000" w:themeColor="text1"/>
          <w:sz w:val="30"/>
          <w:szCs w:val="30"/>
          <w14:textFill>
            <w14:solidFill>
              <w14:schemeClr w14:val="tx1"/>
            </w14:solidFill>
          </w14:textFill>
        </w:rPr>
        <w:t>四、注意事项</w:t>
      </w:r>
    </w:p>
    <w:p w14:paraId="40CC4C06">
      <w:pPr>
        <w:pStyle w:val="9"/>
        <w:widowControl/>
        <w:shd w:val="clear" w:color="auto" w:fill="FFFFFF"/>
        <w:spacing w:line="560" w:lineRule="exact"/>
        <w:ind w:left="0" w:firstLine="480" w:firstLineChars="200"/>
        <w:rPr>
          <w:rFonts w:hint="eastAsia" w:ascii="仿宋_GB2312" w:hAnsi="宋体" w:eastAsia="仿宋_GB2312"/>
          <w:color w:val="000000" w:themeColor="text1"/>
          <w:sz w:val="24"/>
          <w:szCs w:val="24"/>
          <w14:textFill>
            <w14:solidFill>
              <w14:schemeClr w14:val="tx1"/>
            </w14:solidFill>
          </w14:textFill>
        </w:rPr>
      </w:pPr>
      <w:r>
        <w:rPr>
          <w:rFonts w:ascii="Times New Roman" w:hAnsi="Times New Roman" w:eastAsia="仿宋_GB2312"/>
          <w:color w:val="000000" w:themeColor="text1"/>
          <w:sz w:val="24"/>
          <w:szCs w:val="24"/>
          <w14:textFill>
            <w14:solidFill>
              <w14:schemeClr w14:val="tx1"/>
            </w14:solidFill>
          </w14:textFill>
        </w:rPr>
        <w:t>1.所有推免生（含硕士研究生、直博生）均须通过推免服务系统完成报名、复试确认和待录取确认等程序。</w:t>
      </w:r>
    </w:p>
    <w:p w14:paraId="788D5A38">
      <w:pPr>
        <w:pStyle w:val="9"/>
        <w:widowControl/>
        <w:shd w:val="clear" w:color="auto" w:fill="FFFFFF"/>
        <w:spacing w:line="560" w:lineRule="exact"/>
        <w:ind w:left="0" w:firstLine="480" w:firstLineChars="200"/>
        <w:rPr>
          <w:rFonts w:hint="eastAsia" w:ascii="仿宋_GB2312" w:hAnsi="宋体" w:eastAsia="仿宋_GB2312"/>
          <w:color w:val="000000" w:themeColor="text1"/>
          <w:sz w:val="24"/>
          <w:szCs w:val="24"/>
          <w14:textFill>
            <w14:solidFill>
              <w14:schemeClr w14:val="tx1"/>
            </w14:solidFill>
          </w14:textFill>
        </w:rPr>
      </w:pPr>
      <w:r>
        <w:rPr>
          <w:rFonts w:ascii="Times New Roman" w:hAnsi="Times New Roman" w:eastAsia="仿宋_GB2312"/>
          <w:color w:val="000000" w:themeColor="text1"/>
          <w:sz w:val="24"/>
          <w:szCs w:val="24"/>
          <w14:textFill>
            <w14:solidFill>
              <w14:schemeClr w14:val="tx1"/>
            </w14:solidFill>
          </w14:textFill>
        </w:rPr>
        <w:t>2.考生须准确填写个人信息，并在推免工作期间保持电话畅通、电子邮箱使用正常。</w:t>
      </w:r>
    </w:p>
    <w:p w14:paraId="61CB0097">
      <w:pPr>
        <w:pStyle w:val="9"/>
        <w:widowControl/>
        <w:shd w:val="clear" w:color="auto" w:fill="FFFFFF"/>
        <w:spacing w:line="560" w:lineRule="exact"/>
        <w:ind w:left="0" w:firstLine="480" w:firstLineChars="200"/>
        <w:rPr>
          <w:rFonts w:hint="eastAsia" w:ascii="仿宋_GB2312" w:hAnsi="宋体" w:eastAsia="仿宋_GB2312"/>
          <w:color w:val="000000" w:themeColor="text1"/>
          <w:sz w:val="24"/>
          <w:szCs w:val="24"/>
          <w14:textFill>
            <w14:solidFill>
              <w14:schemeClr w14:val="tx1"/>
            </w14:solidFill>
          </w14:textFill>
        </w:rPr>
      </w:pPr>
      <w:r>
        <w:rPr>
          <w:rFonts w:ascii="Times New Roman" w:hAnsi="Times New Roman" w:eastAsia="仿宋_GB2312"/>
          <w:color w:val="000000" w:themeColor="text1"/>
          <w:sz w:val="24"/>
          <w:szCs w:val="24"/>
          <w14:textFill>
            <w14:solidFill>
              <w14:schemeClr w14:val="tx1"/>
            </w14:solidFill>
          </w14:textFill>
        </w:rPr>
        <w:t>3.考生须对提交材料的真实性负责。凡弄虚作假者，一经查实，取消其复试或录取资格。</w:t>
      </w:r>
    </w:p>
    <w:p w14:paraId="43E29093">
      <w:pPr>
        <w:pStyle w:val="9"/>
        <w:widowControl/>
        <w:shd w:val="clear" w:color="auto" w:fill="FFFFFF"/>
        <w:spacing w:line="560" w:lineRule="exact"/>
        <w:ind w:left="0" w:firstLine="480" w:firstLineChars="200"/>
        <w:rPr>
          <w:rFonts w:hint="eastAsia" w:ascii="仿宋_GB2312" w:hAnsi="宋体" w:eastAsia="仿宋_GB2312"/>
          <w:color w:val="000000" w:themeColor="text1"/>
          <w:sz w:val="24"/>
          <w:szCs w:val="24"/>
          <w14:textFill>
            <w14:solidFill>
              <w14:schemeClr w14:val="tx1"/>
            </w14:solidFill>
          </w14:textFill>
        </w:rPr>
      </w:pPr>
      <w:r>
        <w:rPr>
          <w:rFonts w:ascii="Times New Roman" w:hAnsi="Times New Roman" w:eastAsia="仿宋_GB2312"/>
          <w:color w:val="000000" w:themeColor="text1"/>
          <w:sz w:val="24"/>
          <w:szCs w:val="24"/>
          <w14:textFill>
            <w14:solidFill>
              <w14:schemeClr w14:val="tx1"/>
            </w14:solidFill>
          </w14:textFill>
        </w:rPr>
        <w:t>4.考生须按照教育部有关规定，</w:t>
      </w:r>
      <w:r>
        <w:rPr>
          <w:rFonts w:hint="eastAsia" w:ascii="Times New Roman" w:hAnsi="Times New Roman" w:eastAsia="仿宋_GB2312"/>
          <w:color w:val="000000" w:themeColor="text1"/>
          <w:sz w:val="24"/>
          <w:szCs w:val="24"/>
          <w14:textFill>
            <w14:solidFill>
              <w14:schemeClr w14:val="tx1"/>
            </w14:solidFill>
          </w14:textFill>
        </w:rPr>
        <w:t>及时</w:t>
      </w:r>
      <w:r>
        <w:rPr>
          <w:rFonts w:ascii="Times New Roman" w:hAnsi="Times New Roman" w:eastAsia="仿宋_GB2312"/>
          <w:color w:val="000000" w:themeColor="text1"/>
          <w:sz w:val="24"/>
          <w:szCs w:val="24"/>
          <w14:textFill>
            <w14:solidFill>
              <w14:schemeClr w14:val="tx1"/>
            </w14:solidFill>
          </w14:textFill>
        </w:rPr>
        <w:t>登录推免服务系统完成网上报名及报名费缴纳。</w:t>
      </w:r>
    </w:p>
    <w:p w14:paraId="65D12A92">
      <w:pPr>
        <w:pStyle w:val="9"/>
        <w:widowControl/>
        <w:shd w:val="clear" w:color="auto" w:fill="FFFFFF"/>
        <w:spacing w:line="560" w:lineRule="exact"/>
        <w:ind w:left="0" w:firstLine="480" w:firstLineChars="200"/>
        <w:rPr>
          <w:rFonts w:hint="eastAsia" w:ascii="仿宋_GB2312" w:hAnsi="宋体" w:eastAsia="仿宋_GB2312"/>
          <w:color w:val="000000" w:themeColor="text1"/>
          <w:sz w:val="24"/>
          <w:szCs w:val="24"/>
          <w14:textFill>
            <w14:solidFill>
              <w14:schemeClr w14:val="tx1"/>
            </w14:solidFill>
          </w14:textFill>
        </w:rPr>
      </w:pPr>
      <w:r>
        <w:rPr>
          <w:rFonts w:ascii="Times New Roman" w:hAnsi="Times New Roman" w:eastAsia="仿宋_GB2312"/>
          <w:color w:val="000000" w:themeColor="text1"/>
          <w:sz w:val="24"/>
          <w:szCs w:val="24"/>
          <w14:textFill>
            <w14:solidFill>
              <w14:schemeClr w14:val="tx1"/>
            </w14:solidFill>
          </w14:textFill>
        </w:rPr>
        <w:t>5.考生须在推免工作期间保持通信畅通，并按要求参加复试考核。</w:t>
      </w:r>
    </w:p>
    <w:p w14:paraId="245B14B5">
      <w:pPr>
        <w:pStyle w:val="9"/>
        <w:widowControl/>
        <w:shd w:val="clear" w:color="auto" w:fill="FFFFFF"/>
        <w:spacing w:line="560" w:lineRule="exact"/>
        <w:ind w:left="0" w:firstLine="480" w:firstLineChars="200"/>
        <w:rPr>
          <w:rFonts w:hint="eastAsia" w:ascii="仿宋_GB2312" w:hAnsi="宋体" w:eastAsia="仿宋_GB2312"/>
          <w:color w:val="000000" w:themeColor="text1"/>
          <w:sz w:val="24"/>
          <w:szCs w:val="24"/>
          <w14:textFill>
            <w14:solidFill>
              <w14:schemeClr w14:val="tx1"/>
            </w14:solidFill>
          </w14:textFill>
        </w:rPr>
      </w:pPr>
      <w:r>
        <w:rPr>
          <w:rFonts w:ascii="Times New Roman" w:hAnsi="Times New Roman" w:eastAsia="仿宋_GB2312"/>
          <w:color w:val="000000" w:themeColor="text1"/>
          <w:sz w:val="24"/>
          <w:szCs w:val="24"/>
          <w14:textFill>
            <w14:solidFill>
              <w14:schemeClr w14:val="tx1"/>
            </w14:solidFill>
          </w14:textFill>
        </w:rPr>
        <w:t>6.考生收到复试通知或待录取通知后，须在规定时间内登录推免服务系统确认。</w:t>
      </w:r>
    </w:p>
    <w:p w14:paraId="6969C78B">
      <w:pPr>
        <w:spacing w:line="360" w:lineRule="auto"/>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注：申请人需关注学院主页和学校主页的有关通知，参加复试时需携带原始申请材料备查。</w:t>
      </w:r>
    </w:p>
    <w:p w14:paraId="20C7540D">
      <w:pPr>
        <w:spacing w:before="156" w:beforeLines="50" w:after="156" w:afterLines="50" w:line="360" w:lineRule="exact"/>
        <w:rPr>
          <w:rFonts w:hint="eastAsia" w:ascii="黑体" w:hAnsi="黑体" w:eastAsia="黑体"/>
          <w:color w:val="000000" w:themeColor="text1"/>
          <w:sz w:val="30"/>
          <w:szCs w:val="30"/>
          <w14:textFill>
            <w14:solidFill>
              <w14:schemeClr w14:val="tx1"/>
            </w14:solidFill>
          </w14:textFill>
        </w:rPr>
      </w:pPr>
      <w:r>
        <w:rPr>
          <w:rFonts w:hint="eastAsia" w:ascii="黑体" w:hAnsi="黑体" w:eastAsia="黑体"/>
          <w:color w:val="000000" w:themeColor="text1"/>
          <w:sz w:val="30"/>
          <w:szCs w:val="30"/>
          <w14:textFill>
            <w14:solidFill>
              <w14:schemeClr w14:val="tx1"/>
            </w14:solidFill>
          </w14:textFill>
        </w:rPr>
        <w:t>五、联系方式</w:t>
      </w:r>
    </w:p>
    <w:p w14:paraId="20F4042D">
      <w:pPr>
        <w:spacing w:line="360" w:lineRule="auto"/>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联系人：研工办李老师</w:t>
      </w:r>
    </w:p>
    <w:p w14:paraId="790CBADA">
      <w:pPr>
        <w:spacing w:line="360" w:lineRule="auto"/>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联系电话：027-87601661</w:t>
      </w:r>
    </w:p>
    <w:p w14:paraId="4498BA4F">
      <w:pPr>
        <w:spacing w:line="360" w:lineRule="auto"/>
        <w:rPr>
          <w:rFonts w:hint="eastAsia" w:ascii="宋体" w:hAnsi="宋体"/>
          <w:sz w:val="24"/>
          <w:szCs w:val="24"/>
        </w:rPr>
      </w:pPr>
      <w:r>
        <w:rPr>
          <w:rFonts w:hint="eastAsia" w:ascii="宋体" w:hAnsi="宋体"/>
          <w:sz w:val="24"/>
          <w:szCs w:val="24"/>
        </w:rPr>
        <w:t>地址：湖北省武汉市洪山区武汉理工大学南湖校区化生学院研工办</w:t>
      </w:r>
    </w:p>
    <w:p w14:paraId="4D688A10">
      <w:pPr>
        <w:spacing w:line="360" w:lineRule="auto"/>
        <w:rPr>
          <w:rFonts w:hint="eastAsia" w:ascii="仿宋_GB2312" w:hAnsi="仿宋_GB2312" w:eastAsia="仿宋_GB2312" w:cs="仿宋_GB2312"/>
          <w:sz w:val="32"/>
          <w:szCs w:val="32"/>
        </w:rPr>
      </w:pPr>
      <w:r>
        <w:rPr>
          <w:rFonts w:hint="eastAsia" w:ascii="宋体" w:hAnsi="宋体"/>
          <w:sz w:val="24"/>
          <w:szCs w:val="24"/>
        </w:rPr>
        <w:t>邮编：430070</w:t>
      </w:r>
    </w:p>
    <w:p w14:paraId="7A00417C">
      <w:pPr>
        <w:spacing w:before="156" w:beforeLines="50" w:after="156" w:afterLines="50" w:line="360" w:lineRule="exact"/>
        <w:rPr>
          <w:rFonts w:hint="eastAsia" w:ascii="仿宋_GB2312" w:hAnsi="仿宋_GB2312" w:eastAsia="仿宋_GB2312" w:cs="仿宋_GB2312"/>
          <w:sz w:val="32"/>
          <w:szCs w:val="32"/>
        </w:rPr>
      </w:pPr>
    </w:p>
    <w:p w14:paraId="7DD840FA">
      <w:pPr>
        <w:spacing w:before="156" w:beforeLines="50" w:after="156" w:afterLines="50" w:line="360" w:lineRule="exact"/>
        <w:ind w:firstLine="3600" w:firstLineChars="1200"/>
        <w:jc w:val="center"/>
        <w:rPr>
          <w:rFonts w:hint="eastAsia" w:ascii="仿宋" w:hAnsi="仿宋" w:eastAsia="仿宋" w:cs="仿宋_GB2312"/>
          <w:sz w:val="30"/>
          <w:szCs w:val="30"/>
        </w:rPr>
      </w:pPr>
      <w:r>
        <w:rPr>
          <w:rFonts w:hint="eastAsia" w:ascii="仿宋" w:hAnsi="仿宋" w:eastAsia="仿宋" w:cs="仿宋_GB2312"/>
          <w:sz w:val="30"/>
          <w:szCs w:val="30"/>
        </w:rPr>
        <w:t xml:space="preserve">           武汉理工大学</w:t>
      </w:r>
      <w:r>
        <w:rPr>
          <w:rFonts w:hint="eastAsia" w:ascii="仿宋" w:hAnsi="仿宋" w:eastAsia="仿宋" w:cs="微软雅黑"/>
          <w:sz w:val="30"/>
          <w:szCs w:val="30"/>
        </w:rPr>
        <w:t>化</w:t>
      </w:r>
      <w:r>
        <w:rPr>
          <w:rFonts w:hint="eastAsia" w:ascii="仿宋" w:hAnsi="仿宋" w:eastAsia="仿宋" w:cs="仿宋_GB2312"/>
          <w:sz w:val="30"/>
          <w:szCs w:val="30"/>
        </w:rPr>
        <w:t>学</w:t>
      </w:r>
      <w:r>
        <w:rPr>
          <w:rFonts w:hint="eastAsia" w:ascii="仿宋" w:hAnsi="仿宋" w:eastAsia="仿宋" w:cs="微软雅黑"/>
          <w:sz w:val="30"/>
          <w:szCs w:val="30"/>
        </w:rPr>
        <w:t>化</w:t>
      </w:r>
      <w:r>
        <w:rPr>
          <w:rFonts w:hint="eastAsia" w:ascii="仿宋" w:hAnsi="仿宋" w:eastAsia="仿宋" w:cs="仿宋_GB2312"/>
          <w:sz w:val="30"/>
          <w:szCs w:val="30"/>
        </w:rPr>
        <w:t>工学院</w:t>
      </w:r>
    </w:p>
    <w:p w14:paraId="56B0AAA9">
      <w:pPr>
        <w:spacing w:before="156" w:beforeLines="50" w:after="156" w:afterLines="50" w:line="360" w:lineRule="exact"/>
        <w:ind w:right="1200" w:firstLine="4200" w:firstLineChars="1400"/>
        <w:jc w:val="center"/>
        <w:rPr>
          <w:rFonts w:eastAsia="仿宋_GB2312"/>
        </w:rPr>
      </w:pPr>
      <w:r>
        <w:rPr>
          <w:rFonts w:ascii="仿宋_GB2312" w:hAnsi="仿宋_GB2312" w:eastAsia="仿宋_GB2312" w:cs="仿宋_GB2312"/>
          <w:sz w:val="30"/>
          <w:szCs w:val="30"/>
        </w:rPr>
        <w:t xml:space="preserve">       </w:t>
      </w:r>
      <w:r>
        <w:rPr>
          <w:rFonts w:hint="eastAsia" w:ascii="仿宋_GB2312" w:hAnsi="仿宋_GB2312" w:eastAsia="仿宋_GB2312" w:cs="仿宋_GB2312"/>
          <w:sz w:val="30"/>
          <w:szCs w:val="30"/>
        </w:rPr>
        <w:t xml:space="preserve">    </w:t>
      </w:r>
      <w:r>
        <w:rPr>
          <w:rFonts w:ascii="仿宋_GB2312" w:hAnsi="仿宋_GB2312" w:eastAsia="仿宋_GB2312" w:cs="仿宋_GB2312"/>
          <w:sz w:val="30"/>
          <w:szCs w:val="30"/>
        </w:rPr>
        <w:t xml:space="preserve"> </w:t>
      </w:r>
      <w:r>
        <w:rPr>
          <w:rFonts w:hint="eastAsia" w:ascii="仿宋_GB2312" w:hAnsi="仿宋_GB2312" w:eastAsia="仿宋_GB2312" w:cs="仿宋_GB2312"/>
          <w:sz w:val="30"/>
          <w:szCs w:val="30"/>
        </w:rPr>
        <w:t>2026年9月18日</w:t>
      </w:r>
    </w:p>
    <w:sectPr>
      <w:headerReference r:id="rId3"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40F1B">
    <w:pPr>
      <w:pStyle w:val="5"/>
      <w:pBdr>
        <w:bottom w:val="none" w:color="auto" w:sz="0" w:space="0"/>
      </w:pBd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31718B"/>
    <w:multiLevelType w:val="multilevel"/>
    <w:tmpl w:val="1731718B"/>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E54F1E"/>
    <w:rsid w:val="00082902"/>
    <w:rsid w:val="002F3914"/>
    <w:rsid w:val="00391553"/>
    <w:rsid w:val="00466EE1"/>
    <w:rsid w:val="004853BA"/>
    <w:rsid w:val="005F2301"/>
    <w:rsid w:val="0065552D"/>
    <w:rsid w:val="006F7D73"/>
    <w:rsid w:val="00716520"/>
    <w:rsid w:val="008B319B"/>
    <w:rsid w:val="009037B3"/>
    <w:rsid w:val="009E6B5C"/>
    <w:rsid w:val="00A74249"/>
    <w:rsid w:val="00C04291"/>
    <w:rsid w:val="00CC6AAE"/>
    <w:rsid w:val="00D67410"/>
    <w:rsid w:val="00DD19BC"/>
    <w:rsid w:val="00E330C1"/>
    <w:rsid w:val="00E568C5"/>
    <w:rsid w:val="00E80B0F"/>
    <w:rsid w:val="00EC22B6"/>
    <w:rsid w:val="0CE54F1E"/>
    <w:rsid w:val="1E51278A"/>
    <w:rsid w:val="2961285E"/>
    <w:rsid w:val="46482748"/>
    <w:rsid w:val="46BD4DF9"/>
    <w:rsid w:val="70A61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10"/>
    <w:unhideWhenUsed/>
    <w:qFormat/>
    <w:uiPriority w:val="9"/>
    <w:pPr>
      <w:keepNext/>
      <w:keepLines/>
      <w:spacing w:before="160" w:after="80"/>
      <w:outlineLvl w:val="1"/>
    </w:pPr>
    <w:rPr>
      <w:rFonts w:asciiTheme="majorHAnsi" w:hAnsiTheme="majorHAnsi" w:eastAsiaTheme="majorEastAsia" w:cstheme="majorBidi"/>
      <w:color w:val="2E54A1" w:themeColor="accent1" w:themeShade="BF"/>
      <w:sz w:val="40"/>
      <w:szCs w:val="40"/>
      <w14:ligatures w14:val="standardContextual"/>
    </w:rPr>
  </w:style>
  <w:style w:type="paragraph" w:styleId="3">
    <w:name w:val="heading 3"/>
    <w:basedOn w:val="1"/>
    <w:next w:val="1"/>
    <w:link w:val="11"/>
    <w:unhideWhenUsed/>
    <w:qFormat/>
    <w:uiPriority w:val="9"/>
    <w:pPr>
      <w:keepNext/>
      <w:keepLines/>
      <w:spacing w:before="160" w:after="80"/>
      <w:outlineLvl w:val="2"/>
    </w:pPr>
    <w:rPr>
      <w:rFonts w:asciiTheme="majorHAnsi" w:hAnsiTheme="majorHAnsi" w:eastAsiaTheme="majorEastAsia" w:cstheme="majorBidi"/>
      <w:color w:val="2E54A1" w:themeColor="accent1" w:themeShade="BF"/>
      <w:sz w:val="32"/>
      <w:szCs w:val="32"/>
      <w14:ligatures w14:val="standardContextual"/>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qFormat/>
    <w:uiPriority w:val="0"/>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脚 字符"/>
    <w:basedOn w:val="7"/>
    <w:link w:val="4"/>
    <w:qFormat/>
    <w:uiPriority w:val="0"/>
    <w:rPr>
      <w:rFonts w:ascii="Calibri" w:hAnsi="Calibri" w:eastAsia="宋体" w:cs="Times New Roman"/>
      <w:kern w:val="2"/>
      <w:sz w:val="18"/>
      <w:szCs w:val="18"/>
    </w:rPr>
  </w:style>
  <w:style w:type="paragraph" w:styleId="9">
    <w:name w:val="List Paragraph"/>
    <w:basedOn w:val="1"/>
    <w:qFormat/>
    <w:uiPriority w:val="34"/>
    <w:pPr>
      <w:ind w:left="720"/>
      <w:contextualSpacing/>
    </w:pPr>
    <w:rPr>
      <w:rFonts w:asciiTheme="minorHAnsi" w:hAnsiTheme="minorHAnsi" w:eastAsiaTheme="minorEastAsia" w:cstheme="minorBidi"/>
      <w14:ligatures w14:val="standardContextual"/>
    </w:rPr>
  </w:style>
  <w:style w:type="character" w:customStyle="1" w:styleId="10">
    <w:name w:val="标题 2 字符"/>
    <w:basedOn w:val="7"/>
    <w:link w:val="2"/>
    <w:qFormat/>
    <w:uiPriority w:val="9"/>
    <w:rPr>
      <w:rFonts w:asciiTheme="majorHAnsi" w:hAnsiTheme="majorHAnsi" w:eastAsiaTheme="majorEastAsia" w:cstheme="majorBidi"/>
      <w:color w:val="2E54A1" w:themeColor="accent1" w:themeShade="BF"/>
      <w:kern w:val="2"/>
      <w:sz w:val="40"/>
      <w:szCs w:val="40"/>
      <w14:ligatures w14:val="standardContextual"/>
    </w:rPr>
  </w:style>
  <w:style w:type="character" w:customStyle="1" w:styleId="11">
    <w:name w:val="标题 3 字符"/>
    <w:basedOn w:val="7"/>
    <w:link w:val="3"/>
    <w:qFormat/>
    <w:uiPriority w:val="9"/>
    <w:rPr>
      <w:rFonts w:asciiTheme="majorHAnsi" w:hAnsiTheme="majorHAnsi" w:eastAsiaTheme="majorEastAsia" w:cstheme="majorBidi"/>
      <w:color w:val="2E54A1" w:themeColor="accent1" w:themeShade="BF"/>
      <w:kern w:val="2"/>
      <w:sz w:val="32"/>
      <w:szCs w:val="32"/>
      <w14:ligatures w14:val="standardContextu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1655</Words>
  <Characters>1827</Characters>
  <Lines>13</Lines>
  <Paragraphs>3</Paragraphs>
  <TotalTime>189</TotalTime>
  <ScaleCrop>false</ScaleCrop>
  <LinksUpToDate>false</LinksUpToDate>
  <CharactersWithSpaces>1858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2026-09-09T03:22:00Z</dcterms:created>
  <dc:creator>WPS_1717524547</dc:creator>
  <cp:lastModifiedBy>WPS_1717524547</cp:lastModifiedBy>
  <dcterms:modified xsi:type="dcterms:W3CDTF">2026-09-18T02:43:21Z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826409990B8D43EE9D364CF81175CAEF_13</vt:lpwstr>
  </property>
  <property fmtid="{D5CDD505-2E9C-101B-9397-08002B2CF9AE}" pid="4" name="KSOTemplateDocerSaveRecord">
    <vt:lpwstr>eyJoZGlkIjoiZmEwOTFkYjJlODkzMTQwOTMzZjk0NTJkMDI3Yzc4NTUiLCJ1c2VySWQiOiIxNjA1OTczMzY3In0=</vt:lpwstr>
  </property>
</Properties>
</file>